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91E3" w14:textId="34AB0CD6" w:rsidR="001D4F8D" w:rsidRDefault="0094380E" w:rsidP="008E3D23">
      <w:pPr>
        <w:pBdr>
          <w:top w:val="double" w:sz="4" w:space="1" w:color="auto"/>
          <w:left w:val="double" w:sz="4" w:space="4" w:color="auto"/>
          <w:bottom w:val="double" w:sz="4" w:space="1" w:color="auto"/>
          <w:right w:val="double" w:sz="4" w:space="4" w:color="auto"/>
          <w:bar w:val="double" w:sz="4" w:color="auto"/>
        </w:pBdr>
        <w:ind w:left="-180" w:right="-90"/>
        <w:jc w:val="center"/>
        <w:rPr>
          <w:rFonts w:ascii="Gill Sans Nova" w:hAnsi="Gill Sans Nova"/>
          <w:b/>
          <w:bCs/>
          <w:color w:val="000000" w:themeColor="text1"/>
          <w:sz w:val="28"/>
          <w:szCs w:val="28"/>
        </w:rPr>
      </w:pPr>
      <w:r w:rsidRPr="0094380E">
        <w:rPr>
          <w:rFonts w:ascii="Gill Sans Nova" w:hAnsi="Gill Sans Nova"/>
          <w:b/>
          <w:bCs/>
          <w:color w:val="000000" w:themeColor="text1"/>
          <w:sz w:val="28"/>
          <w:szCs w:val="28"/>
        </w:rPr>
        <w:t>SRM Advisor</w:t>
      </w:r>
      <w:r w:rsidR="008E3D23">
        <w:rPr>
          <w:rFonts w:ascii="Gill Sans Nova" w:hAnsi="Gill Sans Nova"/>
          <w:b/>
          <w:bCs/>
          <w:color w:val="000000" w:themeColor="text1"/>
          <w:sz w:val="28"/>
          <w:szCs w:val="28"/>
        </w:rPr>
        <w:t>s Fo</w:t>
      </w:r>
      <w:r w:rsidRPr="0094380E">
        <w:rPr>
          <w:rFonts w:ascii="Gill Sans Nova" w:hAnsi="Gill Sans Nova"/>
          <w:b/>
          <w:bCs/>
          <w:color w:val="000000" w:themeColor="text1"/>
          <w:sz w:val="28"/>
          <w:szCs w:val="28"/>
        </w:rPr>
        <w:t>rm CRS</w:t>
      </w:r>
    </w:p>
    <w:p w14:paraId="2EFDDC9D" w14:textId="35FFE2C2" w:rsidR="008E3D23" w:rsidRDefault="008E3D23" w:rsidP="008E3D23">
      <w:pPr>
        <w:pBdr>
          <w:top w:val="double" w:sz="4" w:space="1" w:color="auto"/>
          <w:left w:val="double" w:sz="4" w:space="4" w:color="auto"/>
          <w:bottom w:val="double" w:sz="4" w:space="1" w:color="auto"/>
          <w:right w:val="double" w:sz="4" w:space="4" w:color="auto"/>
          <w:bar w:val="double" w:sz="4" w:color="auto"/>
        </w:pBdr>
        <w:ind w:left="-180" w:right="-90"/>
        <w:jc w:val="center"/>
        <w:rPr>
          <w:rFonts w:ascii="Gill Sans Nova" w:hAnsi="Gill Sans Nova"/>
          <w:b/>
          <w:bCs/>
          <w:color w:val="000000" w:themeColor="text1"/>
          <w:sz w:val="28"/>
          <w:szCs w:val="28"/>
        </w:rPr>
      </w:pPr>
      <w:r w:rsidRPr="001141D1">
        <w:rPr>
          <w:rFonts w:ascii="Gill Sans Nova" w:hAnsi="Gill Sans Nova"/>
          <w:b/>
          <w:bCs/>
          <w:color w:val="000000" w:themeColor="text1"/>
          <w:sz w:val="28"/>
          <w:szCs w:val="28"/>
        </w:rPr>
        <w:t>A Summary of Your Advisory Relationship with</w:t>
      </w:r>
      <w:r>
        <w:rPr>
          <w:rFonts w:ascii="Gill Sans Nova" w:hAnsi="Gill Sans Nova"/>
          <w:b/>
          <w:bCs/>
          <w:color w:val="000000" w:themeColor="text1"/>
          <w:sz w:val="28"/>
          <w:szCs w:val="28"/>
        </w:rPr>
        <w:t xml:space="preserve"> Us</w:t>
      </w:r>
    </w:p>
    <w:p w14:paraId="116313F0" w14:textId="77777777" w:rsidR="0094380E" w:rsidRPr="001141D1" w:rsidRDefault="0094380E" w:rsidP="00E41743">
      <w:pPr>
        <w:ind w:left="-180" w:right="-90"/>
        <w:jc w:val="center"/>
        <w:rPr>
          <w:rFonts w:ascii="Gill Sans Nova" w:hAnsi="Gill Sans Nova"/>
          <w:b/>
          <w:bCs/>
          <w:color w:val="000000" w:themeColor="text1"/>
        </w:rPr>
      </w:pPr>
    </w:p>
    <w:p w14:paraId="6C0C3CE2" w14:textId="524F2E56" w:rsidR="009C2B97" w:rsidRDefault="005854E0" w:rsidP="00E41743">
      <w:pPr>
        <w:ind w:left="-180" w:right="-90"/>
        <w:jc w:val="both"/>
        <w:rPr>
          <w:rFonts w:ascii="Garamond" w:hAnsi="Garamond"/>
          <w:color w:val="000000" w:themeColor="text1"/>
        </w:rPr>
      </w:pPr>
      <w:r w:rsidRPr="005854E0">
        <w:rPr>
          <w:rFonts w:ascii="Garamond" w:hAnsi="Garamond"/>
          <w:color w:val="000000" w:themeColor="text1"/>
        </w:rPr>
        <w:t xml:space="preserve">Strategic Research &amp; Management Corp. dba SRM Advisors (“SRM”) </w:t>
      </w:r>
      <w:r w:rsidR="00615992" w:rsidRPr="001141D1">
        <w:rPr>
          <w:rFonts w:ascii="Garamond" w:hAnsi="Garamond"/>
          <w:color w:val="000000" w:themeColor="text1"/>
        </w:rPr>
        <w:t>is registered with the Securit</w:t>
      </w:r>
      <w:r w:rsidR="00FD42B6">
        <w:rPr>
          <w:rFonts w:ascii="Garamond" w:hAnsi="Garamond"/>
          <w:color w:val="000000" w:themeColor="text1"/>
        </w:rPr>
        <w:t>ies</w:t>
      </w:r>
      <w:r w:rsidR="00615992" w:rsidRPr="001141D1">
        <w:rPr>
          <w:rFonts w:ascii="Garamond" w:hAnsi="Garamond"/>
          <w:color w:val="000000" w:themeColor="text1"/>
        </w:rPr>
        <w:t xml:space="preserve"> and Exchange Commission as an investment </w:t>
      </w:r>
      <w:r w:rsidR="00E41743">
        <w:rPr>
          <w:rFonts w:ascii="Garamond" w:hAnsi="Garamond"/>
          <w:color w:val="000000" w:themeColor="text1"/>
        </w:rPr>
        <w:t>advisor</w:t>
      </w:r>
      <w:r w:rsidR="00615992" w:rsidRPr="001141D1">
        <w:rPr>
          <w:rFonts w:ascii="Garamond" w:hAnsi="Garamond"/>
          <w:color w:val="000000" w:themeColor="text1"/>
        </w:rPr>
        <w:t xml:space="preserve">.  </w:t>
      </w:r>
      <w:r w:rsidR="006C60BC">
        <w:rPr>
          <w:rFonts w:ascii="Garamond" w:hAnsi="Garamond"/>
          <w:color w:val="000000" w:themeColor="text1"/>
        </w:rPr>
        <w:t>We are</w:t>
      </w:r>
      <w:r w:rsidR="00615992" w:rsidRPr="001141D1">
        <w:rPr>
          <w:rFonts w:ascii="Garamond" w:hAnsi="Garamond"/>
          <w:color w:val="000000" w:themeColor="text1"/>
        </w:rPr>
        <w:t xml:space="preserve"> not a broker-dealer. Brokerage and investment advisory services and fees are </w:t>
      </w:r>
      <w:r w:rsidR="004F5104" w:rsidRPr="001141D1">
        <w:rPr>
          <w:rFonts w:ascii="Garamond" w:hAnsi="Garamond"/>
          <w:color w:val="000000" w:themeColor="text1"/>
        </w:rPr>
        <w:t>different,</w:t>
      </w:r>
      <w:r w:rsidR="00615992" w:rsidRPr="001141D1">
        <w:rPr>
          <w:rFonts w:ascii="Garamond" w:hAnsi="Garamond"/>
          <w:color w:val="000000" w:themeColor="text1"/>
        </w:rPr>
        <w:t xml:space="preserve"> and it is important for you to understand the difference. Please see </w:t>
      </w:r>
      <w:hyperlink r:id="rId7" w:history="1">
        <w:r w:rsidR="00615992" w:rsidRPr="001141D1">
          <w:rPr>
            <w:rStyle w:val="Hyperlink"/>
            <w:rFonts w:ascii="Garamond" w:hAnsi="Garamond"/>
            <w:color w:val="000000" w:themeColor="text1"/>
          </w:rPr>
          <w:t>www.Investor.gov/CRS</w:t>
        </w:r>
      </w:hyperlink>
      <w:r w:rsidR="00615992" w:rsidRPr="001141D1">
        <w:rPr>
          <w:rFonts w:ascii="Garamond" w:hAnsi="Garamond"/>
          <w:color w:val="000000" w:themeColor="text1"/>
        </w:rPr>
        <w:t xml:space="preserve"> which is an SEC-sponsored website that provides free and simple educational information about investment advisors, broker-dealers, and investing</w:t>
      </w:r>
      <w:r w:rsidR="00C143EF">
        <w:rPr>
          <w:rFonts w:ascii="Garamond" w:hAnsi="Garamond"/>
          <w:color w:val="000000" w:themeColor="text1"/>
        </w:rPr>
        <w:t>.</w:t>
      </w:r>
    </w:p>
    <w:p w14:paraId="55A6AFD4" w14:textId="77777777" w:rsidR="00C143EF" w:rsidRPr="001141D1" w:rsidRDefault="00C143EF" w:rsidP="00E41743">
      <w:pPr>
        <w:ind w:left="-180" w:right="-90"/>
        <w:jc w:val="both"/>
        <w:rPr>
          <w:rFonts w:ascii="Garamond" w:hAnsi="Garamond"/>
          <w:color w:val="000000" w:themeColor="text1"/>
        </w:rPr>
      </w:pPr>
    </w:p>
    <w:p w14:paraId="7E2EA965" w14:textId="47B76784" w:rsidR="009C2B97" w:rsidRDefault="00093905" w:rsidP="00E41743">
      <w:pPr>
        <w:ind w:left="-180" w:right="-90"/>
        <w:jc w:val="both"/>
        <w:rPr>
          <w:rFonts w:ascii="Garamond" w:hAnsi="Garamond"/>
          <w:color w:val="000000" w:themeColor="text1"/>
        </w:rPr>
      </w:pPr>
      <w:r w:rsidRPr="001141D1">
        <w:rPr>
          <w:rFonts w:ascii="Garamond" w:hAnsi="Garamond"/>
          <w:color w:val="000000" w:themeColor="text1"/>
        </w:rPr>
        <w:t>This form is intended to</w:t>
      </w:r>
      <w:r w:rsidR="00C402F8" w:rsidRPr="001141D1">
        <w:rPr>
          <w:rFonts w:ascii="Garamond" w:hAnsi="Garamond"/>
          <w:color w:val="000000" w:themeColor="text1"/>
        </w:rPr>
        <w:t xml:space="preserve"> aid </w:t>
      </w:r>
      <w:r w:rsidR="006C60BC">
        <w:rPr>
          <w:rFonts w:ascii="Garamond" w:hAnsi="Garamond"/>
          <w:color w:val="000000" w:themeColor="text1"/>
        </w:rPr>
        <w:t>your</w:t>
      </w:r>
      <w:r w:rsidR="00C402F8" w:rsidRPr="001141D1">
        <w:rPr>
          <w:rFonts w:ascii="Garamond" w:hAnsi="Garamond"/>
          <w:color w:val="000000" w:themeColor="text1"/>
        </w:rPr>
        <w:t xml:space="preserve"> understanding </w:t>
      </w:r>
      <w:r w:rsidR="006C60BC">
        <w:rPr>
          <w:rFonts w:ascii="Garamond" w:hAnsi="Garamond"/>
          <w:color w:val="000000" w:themeColor="text1"/>
        </w:rPr>
        <w:t xml:space="preserve">of </w:t>
      </w:r>
      <w:r w:rsidR="00C402F8" w:rsidRPr="001141D1">
        <w:rPr>
          <w:rFonts w:ascii="Garamond" w:hAnsi="Garamond"/>
          <w:color w:val="000000" w:themeColor="text1"/>
        </w:rPr>
        <w:t xml:space="preserve">the services </w:t>
      </w:r>
      <w:r w:rsidR="005854E0">
        <w:rPr>
          <w:rFonts w:ascii="Garamond" w:hAnsi="Garamond"/>
          <w:color w:val="000000" w:themeColor="text1"/>
        </w:rPr>
        <w:t>SRM</w:t>
      </w:r>
      <w:r w:rsidR="00C402F8" w:rsidRPr="001141D1">
        <w:rPr>
          <w:rFonts w:ascii="Garamond" w:hAnsi="Garamond"/>
          <w:color w:val="000000" w:themeColor="text1"/>
        </w:rPr>
        <w:t xml:space="preserve"> </w:t>
      </w:r>
      <w:r w:rsidR="006C60BC">
        <w:rPr>
          <w:rFonts w:ascii="Garamond" w:hAnsi="Garamond"/>
          <w:color w:val="000000" w:themeColor="text1"/>
        </w:rPr>
        <w:t>offers</w:t>
      </w:r>
      <w:r w:rsidR="00C402F8" w:rsidRPr="001141D1">
        <w:rPr>
          <w:rFonts w:ascii="Garamond" w:hAnsi="Garamond"/>
          <w:color w:val="000000" w:themeColor="text1"/>
        </w:rPr>
        <w:t xml:space="preserve"> </w:t>
      </w:r>
      <w:r w:rsidR="006C60BC">
        <w:rPr>
          <w:rFonts w:ascii="Garamond" w:hAnsi="Garamond"/>
          <w:color w:val="000000" w:themeColor="text1"/>
        </w:rPr>
        <w:t>and describe</w:t>
      </w:r>
      <w:r w:rsidR="00C402F8" w:rsidRPr="001141D1">
        <w:rPr>
          <w:rFonts w:ascii="Garamond" w:hAnsi="Garamond"/>
          <w:color w:val="000000" w:themeColor="text1"/>
        </w:rPr>
        <w:t xml:space="preserve"> significant issues</w:t>
      </w:r>
      <w:r w:rsidR="0034756B">
        <w:rPr>
          <w:rFonts w:ascii="Garamond" w:hAnsi="Garamond"/>
          <w:color w:val="000000" w:themeColor="text1"/>
        </w:rPr>
        <w:t xml:space="preserve"> related to these services which you may find important</w:t>
      </w:r>
      <w:r w:rsidR="002A6E8E" w:rsidRPr="001141D1">
        <w:rPr>
          <w:rFonts w:ascii="Garamond" w:hAnsi="Garamond"/>
          <w:color w:val="000000" w:themeColor="text1"/>
        </w:rPr>
        <w:t>.</w:t>
      </w:r>
      <w:r w:rsidR="00C402F8" w:rsidRPr="001141D1">
        <w:rPr>
          <w:rFonts w:ascii="Garamond" w:hAnsi="Garamond"/>
          <w:color w:val="000000" w:themeColor="text1"/>
        </w:rPr>
        <w:t xml:space="preserve"> We have </w:t>
      </w:r>
      <w:r w:rsidR="002A6E8E" w:rsidRPr="001141D1">
        <w:rPr>
          <w:rFonts w:ascii="Garamond" w:hAnsi="Garamond"/>
          <w:color w:val="000000" w:themeColor="text1"/>
        </w:rPr>
        <w:t>included</w:t>
      </w:r>
      <w:r w:rsidR="00C402F8" w:rsidRPr="001141D1">
        <w:rPr>
          <w:rFonts w:ascii="Garamond" w:hAnsi="Garamond"/>
          <w:color w:val="000000" w:themeColor="text1"/>
        </w:rPr>
        <w:t xml:space="preserve"> “</w:t>
      </w:r>
      <w:r w:rsidR="0034756B">
        <w:rPr>
          <w:rFonts w:ascii="Garamond" w:hAnsi="Garamond"/>
          <w:color w:val="000000" w:themeColor="text1"/>
        </w:rPr>
        <w:t>C</w:t>
      </w:r>
      <w:r w:rsidR="00C402F8" w:rsidRPr="001141D1">
        <w:rPr>
          <w:rFonts w:ascii="Garamond" w:hAnsi="Garamond"/>
          <w:color w:val="000000" w:themeColor="text1"/>
        </w:rPr>
        <w:t xml:space="preserve">onversation </w:t>
      </w:r>
      <w:r w:rsidR="0034756B">
        <w:rPr>
          <w:rFonts w:ascii="Garamond" w:hAnsi="Garamond"/>
          <w:color w:val="000000" w:themeColor="text1"/>
        </w:rPr>
        <w:t>S</w:t>
      </w:r>
      <w:r w:rsidR="00C402F8" w:rsidRPr="001141D1">
        <w:rPr>
          <w:rFonts w:ascii="Garamond" w:hAnsi="Garamond"/>
          <w:color w:val="000000" w:themeColor="text1"/>
        </w:rPr>
        <w:t>tarters”</w:t>
      </w:r>
      <w:r w:rsidR="009C2B97" w:rsidRPr="001141D1">
        <w:rPr>
          <w:rFonts w:ascii="Garamond" w:hAnsi="Garamond"/>
          <w:color w:val="000000" w:themeColor="text1"/>
        </w:rPr>
        <w:t xml:space="preserve"> </w:t>
      </w:r>
      <w:r w:rsidR="00C402F8" w:rsidRPr="001141D1">
        <w:rPr>
          <w:rFonts w:ascii="Garamond" w:hAnsi="Garamond"/>
          <w:color w:val="000000" w:themeColor="text1"/>
        </w:rPr>
        <w:t xml:space="preserve">to </w:t>
      </w:r>
      <w:r w:rsidR="008F0D3E" w:rsidRPr="001141D1">
        <w:rPr>
          <w:rFonts w:ascii="Garamond" w:hAnsi="Garamond"/>
          <w:color w:val="000000" w:themeColor="text1"/>
        </w:rPr>
        <w:t xml:space="preserve">encourage </w:t>
      </w:r>
      <w:r w:rsidR="0034756B">
        <w:rPr>
          <w:rFonts w:ascii="Garamond" w:hAnsi="Garamond"/>
          <w:color w:val="000000" w:themeColor="text1"/>
        </w:rPr>
        <w:t>the discussion of</w:t>
      </w:r>
      <w:r w:rsidR="002A6E8E" w:rsidRPr="001141D1">
        <w:rPr>
          <w:rFonts w:ascii="Garamond" w:hAnsi="Garamond"/>
          <w:color w:val="000000" w:themeColor="text1"/>
        </w:rPr>
        <w:t xml:space="preserve"> </w:t>
      </w:r>
      <w:r w:rsidR="0034756B">
        <w:rPr>
          <w:rFonts w:ascii="Garamond" w:hAnsi="Garamond"/>
          <w:color w:val="000000" w:themeColor="text1"/>
        </w:rPr>
        <w:t xml:space="preserve">subjects important to you. </w:t>
      </w:r>
      <w:r w:rsidR="008F0D3E" w:rsidRPr="001141D1">
        <w:rPr>
          <w:rFonts w:ascii="Garamond" w:hAnsi="Garamond"/>
          <w:color w:val="000000" w:themeColor="text1"/>
        </w:rPr>
        <w:t>The first example is below:</w:t>
      </w:r>
    </w:p>
    <w:p w14:paraId="7C554A92" w14:textId="6D257B79" w:rsidR="00D555F6" w:rsidRPr="001141D1" w:rsidRDefault="008F0D3E" w:rsidP="00E41743">
      <w:pPr>
        <w:ind w:left="-180" w:right="-90"/>
        <w:jc w:val="center"/>
        <w:rPr>
          <w:rFonts w:ascii="Ink Free" w:hAnsi="Ink Free"/>
          <w:b/>
          <w:bCs/>
          <w:i/>
          <w:iCs/>
          <w:color w:val="000000" w:themeColor="text1"/>
        </w:rPr>
      </w:pPr>
      <w:r w:rsidRPr="001141D1">
        <w:rPr>
          <w:rFonts w:ascii="Ink Free" w:hAnsi="Ink Free"/>
          <w:b/>
          <w:bCs/>
          <w:i/>
          <w:iCs/>
          <w:color w:val="000000" w:themeColor="text1"/>
        </w:rPr>
        <w:t>Conversation Starter</w:t>
      </w:r>
    </w:p>
    <w:p w14:paraId="742BDBE1" w14:textId="77777777" w:rsidR="008F0D3E" w:rsidRPr="001141D1" w:rsidRDefault="009C2B97" w:rsidP="00E41743">
      <w:pPr>
        <w:pStyle w:val="ListParagraph"/>
        <w:numPr>
          <w:ilvl w:val="0"/>
          <w:numId w:val="3"/>
        </w:numPr>
        <w:ind w:left="-180" w:right="-90" w:firstLine="0"/>
        <w:jc w:val="both"/>
        <w:rPr>
          <w:rFonts w:ascii="Ink Free" w:hAnsi="Ink Free"/>
          <w:b/>
          <w:bCs/>
          <w:i/>
          <w:iCs/>
          <w:color w:val="000000" w:themeColor="text1"/>
          <w:sz w:val="22"/>
          <w:szCs w:val="22"/>
        </w:rPr>
      </w:pPr>
      <w:r w:rsidRPr="001141D1">
        <w:rPr>
          <w:rFonts w:ascii="Ink Free" w:hAnsi="Ink Free"/>
          <w:b/>
          <w:bCs/>
          <w:i/>
          <w:iCs/>
          <w:color w:val="000000" w:themeColor="text1"/>
          <w:sz w:val="22"/>
          <w:szCs w:val="22"/>
        </w:rPr>
        <w:t xml:space="preserve">Given my financial situation, should I choose an investment advisory service? Why or </w:t>
      </w:r>
      <w:r w:rsidR="008F0D3E" w:rsidRPr="001141D1">
        <w:rPr>
          <w:rFonts w:ascii="Ink Free" w:hAnsi="Ink Free"/>
          <w:b/>
          <w:bCs/>
          <w:i/>
          <w:iCs/>
          <w:color w:val="000000" w:themeColor="text1"/>
          <w:sz w:val="22"/>
          <w:szCs w:val="22"/>
        </w:rPr>
        <w:t>why not?</w:t>
      </w:r>
    </w:p>
    <w:p w14:paraId="519F49CA" w14:textId="77777777" w:rsidR="008F0D3E" w:rsidRPr="001141D1" w:rsidRDefault="008F0D3E" w:rsidP="00E41743">
      <w:pPr>
        <w:pStyle w:val="ListParagraph"/>
        <w:numPr>
          <w:ilvl w:val="0"/>
          <w:numId w:val="3"/>
        </w:numPr>
        <w:ind w:left="-180" w:right="-90" w:firstLine="0"/>
        <w:jc w:val="both"/>
        <w:rPr>
          <w:rFonts w:ascii="Ink Free" w:hAnsi="Ink Free"/>
          <w:b/>
          <w:bCs/>
          <w:i/>
          <w:iCs/>
          <w:color w:val="000000" w:themeColor="text1"/>
          <w:sz w:val="22"/>
          <w:szCs w:val="22"/>
        </w:rPr>
      </w:pPr>
      <w:r w:rsidRPr="001141D1">
        <w:rPr>
          <w:rFonts w:ascii="Ink Free" w:hAnsi="Ink Free"/>
          <w:b/>
          <w:bCs/>
          <w:i/>
          <w:iCs/>
          <w:color w:val="000000" w:themeColor="text1"/>
          <w:sz w:val="22"/>
          <w:szCs w:val="22"/>
        </w:rPr>
        <w:t>How will you choose investments to recommend to me?</w:t>
      </w:r>
    </w:p>
    <w:p w14:paraId="160202DE" w14:textId="50D9BBF8" w:rsidR="002259A8" w:rsidRDefault="008F0D3E" w:rsidP="00E41743">
      <w:pPr>
        <w:pStyle w:val="ListParagraph"/>
        <w:numPr>
          <w:ilvl w:val="0"/>
          <w:numId w:val="3"/>
        </w:numPr>
        <w:ind w:left="-180" w:right="-90" w:firstLine="0"/>
        <w:jc w:val="both"/>
        <w:rPr>
          <w:rFonts w:ascii="Ink Free" w:hAnsi="Ink Free"/>
          <w:b/>
          <w:bCs/>
          <w:i/>
          <w:iCs/>
          <w:color w:val="000000" w:themeColor="text1"/>
          <w:sz w:val="22"/>
          <w:szCs w:val="22"/>
        </w:rPr>
      </w:pPr>
      <w:r w:rsidRPr="001141D1">
        <w:rPr>
          <w:rFonts w:ascii="Ink Free" w:hAnsi="Ink Free"/>
          <w:b/>
          <w:bCs/>
          <w:i/>
          <w:iCs/>
          <w:color w:val="000000" w:themeColor="text1"/>
          <w:sz w:val="22"/>
          <w:szCs w:val="22"/>
        </w:rPr>
        <w:t xml:space="preserve">What is your relevant experience, including your licenses, </w:t>
      </w:r>
      <w:r w:rsidR="001C1B05" w:rsidRPr="001141D1">
        <w:rPr>
          <w:rFonts w:ascii="Ink Free" w:hAnsi="Ink Free"/>
          <w:b/>
          <w:bCs/>
          <w:i/>
          <w:iCs/>
          <w:color w:val="000000" w:themeColor="text1"/>
          <w:sz w:val="22"/>
          <w:szCs w:val="22"/>
        </w:rPr>
        <w:t>education,</w:t>
      </w:r>
      <w:r w:rsidRPr="001141D1">
        <w:rPr>
          <w:rFonts w:ascii="Ink Free" w:hAnsi="Ink Free"/>
          <w:b/>
          <w:bCs/>
          <w:i/>
          <w:iCs/>
          <w:color w:val="000000" w:themeColor="text1"/>
          <w:sz w:val="22"/>
          <w:szCs w:val="22"/>
        </w:rPr>
        <w:t xml:space="preserve"> and other qualifications?  What do these qualifications mean?</w:t>
      </w:r>
    </w:p>
    <w:p w14:paraId="30251A2D" w14:textId="77777777" w:rsidR="00C143EF" w:rsidRPr="00C143EF" w:rsidRDefault="00C143EF" w:rsidP="00E41743">
      <w:pPr>
        <w:ind w:left="-180" w:right="-90"/>
        <w:jc w:val="both"/>
        <w:rPr>
          <w:rFonts w:ascii="Ink Free" w:hAnsi="Ink Free"/>
          <w:b/>
          <w:bCs/>
          <w:i/>
          <w:iCs/>
          <w:color w:val="000000" w:themeColor="text1"/>
          <w:sz w:val="10"/>
          <w:szCs w:val="8"/>
        </w:rPr>
      </w:pPr>
    </w:p>
    <w:p w14:paraId="21F2A22A" w14:textId="5E2FEB52" w:rsidR="00E41743" w:rsidRPr="001141D1" w:rsidRDefault="00C143EF" w:rsidP="00E41743">
      <w:pPr>
        <w:ind w:left="-180" w:right="-90"/>
        <w:jc w:val="both"/>
        <w:rPr>
          <w:rFonts w:ascii="Garamond" w:hAnsi="Garamond"/>
          <w:color w:val="000000" w:themeColor="text1"/>
        </w:rPr>
      </w:pPr>
      <w:r>
        <w:rPr>
          <w:rFonts w:ascii="Garamond" w:hAnsi="Garamond"/>
          <w:color w:val="000000" w:themeColor="text1"/>
        </w:rPr>
        <w:t xml:space="preserve">The following provides </w:t>
      </w:r>
      <w:r w:rsidR="002259A8" w:rsidRPr="001141D1">
        <w:rPr>
          <w:rFonts w:ascii="Garamond" w:hAnsi="Garamond"/>
          <w:color w:val="000000" w:themeColor="text1"/>
        </w:rPr>
        <w:t xml:space="preserve">answers to </w:t>
      </w:r>
      <w:r w:rsidR="00503FC9" w:rsidRPr="001141D1">
        <w:rPr>
          <w:rFonts w:ascii="Garamond" w:hAnsi="Garamond"/>
          <w:color w:val="000000" w:themeColor="text1"/>
        </w:rPr>
        <w:t>common</w:t>
      </w:r>
      <w:r w:rsidR="002259A8" w:rsidRPr="001141D1">
        <w:rPr>
          <w:rFonts w:ascii="Garamond" w:hAnsi="Garamond"/>
          <w:color w:val="000000" w:themeColor="text1"/>
        </w:rPr>
        <w:t xml:space="preserve"> questions that will assist you </w:t>
      </w:r>
      <w:r w:rsidR="0055134D" w:rsidRPr="001141D1">
        <w:rPr>
          <w:rFonts w:ascii="Garamond" w:hAnsi="Garamond"/>
          <w:color w:val="000000" w:themeColor="text1"/>
        </w:rPr>
        <w:t xml:space="preserve">in deciding whether </w:t>
      </w:r>
      <w:r>
        <w:rPr>
          <w:rFonts w:ascii="Garamond" w:hAnsi="Garamond"/>
          <w:color w:val="000000" w:themeColor="text1"/>
        </w:rPr>
        <w:t>to become</w:t>
      </w:r>
      <w:r w:rsidR="0055134D" w:rsidRPr="001141D1">
        <w:rPr>
          <w:rFonts w:ascii="Garamond" w:hAnsi="Garamond"/>
          <w:color w:val="000000" w:themeColor="text1"/>
        </w:rPr>
        <w:t xml:space="preserve"> </w:t>
      </w:r>
      <w:r w:rsidR="007C3A3D" w:rsidRPr="001141D1">
        <w:rPr>
          <w:rFonts w:ascii="Garamond" w:hAnsi="Garamond"/>
          <w:color w:val="000000" w:themeColor="text1"/>
        </w:rPr>
        <w:t xml:space="preserve">a client of </w:t>
      </w:r>
      <w:r w:rsidR="0055134D" w:rsidRPr="001141D1">
        <w:rPr>
          <w:rFonts w:ascii="Garamond" w:hAnsi="Garamond"/>
          <w:color w:val="000000" w:themeColor="text1"/>
        </w:rPr>
        <w:t xml:space="preserve">a </w:t>
      </w:r>
      <w:r w:rsidR="005854E0">
        <w:rPr>
          <w:rFonts w:ascii="Garamond" w:hAnsi="Garamond"/>
          <w:color w:val="000000" w:themeColor="text1"/>
        </w:rPr>
        <w:t>SRM</w:t>
      </w:r>
      <w:r w:rsidR="007C3A3D" w:rsidRPr="001141D1">
        <w:rPr>
          <w:rFonts w:ascii="Garamond" w:hAnsi="Garamond"/>
          <w:color w:val="000000" w:themeColor="text1"/>
        </w:rPr>
        <w:t>.</w:t>
      </w:r>
    </w:p>
    <w:tbl>
      <w:tblPr>
        <w:tblStyle w:val="TableGrid"/>
        <w:tblW w:w="10530" w:type="dxa"/>
        <w:tblCellSpacing w:w="20" w:type="dxa"/>
        <w:tblInd w:w="-183" w:type="dxa"/>
        <w:tblBorders>
          <w:top w:val="single" w:sz="2" w:space="0" w:color="auto"/>
          <w:bottom w:val="single" w:sz="2" w:space="0" w:color="auto"/>
          <w:insideH w:val="single" w:sz="2" w:space="0" w:color="auto"/>
        </w:tblBorders>
        <w:tblLook w:val="04A0" w:firstRow="1" w:lastRow="0" w:firstColumn="1" w:lastColumn="0" w:noHBand="0" w:noVBand="1"/>
      </w:tblPr>
      <w:tblGrid>
        <w:gridCol w:w="1731"/>
        <w:gridCol w:w="697"/>
        <w:gridCol w:w="6281"/>
        <w:gridCol w:w="1821"/>
      </w:tblGrid>
      <w:tr w:rsidR="00C20D2B" w:rsidRPr="001141D1" w14:paraId="5C5B1EEB" w14:textId="77777777" w:rsidTr="005E1224">
        <w:trPr>
          <w:tblCellSpacing w:w="20" w:type="dxa"/>
        </w:trPr>
        <w:tc>
          <w:tcPr>
            <w:tcW w:w="10450" w:type="dxa"/>
            <w:gridSpan w:val="4"/>
            <w:tcBorders>
              <w:top w:val="nil"/>
              <w:left w:val="single" w:sz="2" w:space="0" w:color="auto"/>
              <w:bottom w:val="nil"/>
              <w:right w:val="single" w:sz="2" w:space="0" w:color="auto"/>
            </w:tcBorders>
          </w:tcPr>
          <w:p w14:paraId="65150707" w14:textId="0F45999A" w:rsidR="00190E1B" w:rsidRPr="00763FF6" w:rsidRDefault="00190E1B" w:rsidP="00E41743">
            <w:pPr>
              <w:ind w:left="90" w:right="180"/>
              <w:jc w:val="center"/>
              <w:rPr>
                <w:rFonts w:ascii="Ink Free" w:eastAsia="Arial" w:hAnsi="Ink Free" w:cs="Arial"/>
                <w:b/>
                <w:bCs/>
                <w:i/>
                <w:iCs/>
                <w:w w:val="96"/>
                <w:sz w:val="22"/>
                <w:szCs w:val="22"/>
              </w:rPr>
            </w:pPr>
            <w:r w:rsidRPr="00763FF6">
              <w:rPr>
                <w:rFonts w:ascii="Ink Free" w:eastAsia="Arial" w:hAnsi="Ink Free" w:cs="Arial"/>
                <w:b/>
                <w:bCs/>
                <w:i/>
                <w:iCs/>
                <w:w w:val="96"/>
                <w:sz w:val="22"/>
                <w:szCs w:val="22"/>
              </w:rPr>
              <w:t>Conversation Starter</w:t>
            </w:r>
          </w:p>
          <w:p w14:paraId="0F4FA2E0" w14:textId="77777777" w:rsidR="00763FF6" w:rsidRDefault="00190E1B" w:rsidP="00763FF6">
            <w:pPr>
              <w:pStyle w:val="ListParagraph"/>
              <w:numPr>
                <w:ilvl w:val="0"/>
                <w:numId w:val="5"/>
              </w:numPr>
              <w:ind w:right="180"/>
              <w:jc w:val="both"/>
              <w:rPr>
                <w:rFonts w:ascii="Ink Free" w:eastAsia="Arial" w:hAnsi="Ink Free" w:cs="Arial"/>
                <w:b/>
                <w:bCs/>
                <w:i/>
                <w:iCs/>
                <w:w w:val="96"/>
                <w:sz w:val="22"/>
                <w:szCs w:val="22"/>
              </w:rPr>
            </w:pPr>
            <w:r w:rsidRPr="00763FF6">
              <w:rPr>
                <w:rFonts w:ascii="Ink Free" w:eastAsia="Arial" w:hAnsi="Ink Free" w:cs="Arial"/>
                <w:b/>
                <w:bCs/>
                <w:i/>
                <w:iCs/>
                <w:w w:val="96"/>
                <w:sz w:val="22"/>
                <w:szCs w:val="22"/>
              </w:rPr>
              <w:t>Help me understand how these fees and costs might affect my investments.</w:t>
            </w:r>
            <w:r w:rsidR="00763FF6">
              <w:rPr>
                <w:rFonts w:ascii="Ink Free" w:eastAsia="Arial" w:hAnsi="Ink Free" w:cs="Arial"/>
                <w:b/>
                <w:bCs/>
                <w:i/>
                <w:iCs/>
                <w:w w:val="96"/>
                <w:sz w:val="22"/>
                <w:szCs w:val="22"/>
              </w:rPr>
              <w:t xml:space="preserve"> </w:t>
            </w:r>
          </w:p>
          <w:p w14:paraId="6557D282" w14:textId="72C51F53" w:rsidR="00093905" w:rsidRPr="00763FF6" w:rsidRDefault="00190E1B" w:rsidP="00763FF6">
            <w:pPr>
              <w:pStyle w:val="ListParagraph"/>
              <w:numPr>
                <w:ilvl w:val="0"/>
                <w:numId w:val="5"/>
              </w:numPr>
              <w:ind w:right="180"/>
              <w:jc w:val="both"/>
              <w:rPr>
                <w:rFonts w:ascii="Ink Free" w:eastAsia="Arial" w:hAnsi="Ink Free" w:cs="Arial"/>
                <w:b/>
                <w:bCs/>
                <w:i/>
                <w:iCs/>
                <w:w w:val="96"/>
                <w:sz w:val="22"/>
                <w:szCs w:val="22"/>
              </w:rPr>
            </w:pPr>
            <w:r w:rsidRPr="00763FF6">
              <w:rPr>
                <w:rFonts w:ascii="Ink Free" w:eastAsia="Arial" w:hAnsi="Ink Free" w:cs="Arial"/>
                <w:b/>
                <w:bCs/>
                <w:i/>
                <w:iCs/>
                <w:w w:val="96"/>
                <w:sz w:val="22"/>
                <w:szCs w:val="22"/>
              </w:rPr>
              <w:t>If I give you $10,000 to invest, how much will go to fees and costs, and how much will be</w:t>
            </w:r>
            <w:r w:rsidR="00763FF6">
              <w:rPr>
                <w:rFonts w:ascii="Ink Free" w:eastAsia="Arial" w:hAnsi="Ink Free" w:cs="Arial"/>
                <w:b/>
                <w:bCs/>
                <w:i/>
                <w:iCs/>
                <w:w w:val="96"/>
                <w:sz w:val="22"/>
                <w:szCs w:val="22"/>
              </w:rPr>
              <w:t xml:space="preserve"> </w:t>
            </w:r>
            <w:r w:rsidRPr="00763FF6">
              <w:rPr>
                <w:rFonts w:ascii="Ink Free" w:eastAsia="Arial" w:hAnsi="Ink Free" w:cs="Arial"/>
                <w:b/>
                <w:bCs/>
                <w:i/>
                <w:iCs/>
                <w:w w:val="96"/>
                <w:sz w:val="22"/>
                <w:szCs w:val="22"/>
              </w:rPr>
              <w:t>invested for me?</w:t>
            </w:r>
          </w:p>
        </w:tc>
      </w:tr>
      <w:tr w:rsidR="00C20D2B" w:rsidRPr="001141D1" w14:paraId="70FE1C55" w14:textId="77777777" w:rsidTr="005E1224">
        <w:trPr>
          <w:tblCellSpacing w:w="20" w:type="dxa"/>
        </w:trPr>
        <w:tc>
          <w:tcPr>
            <w:tcW w:w="1671" w:type="dxa"/>
            <w:tcBorders>
              <w:left w:val="single" w:sz="2" w:space="0" w:color="auto"/>
            </w:tcBorders>
          </w:tcPr>
          <w:p w14:paraId="75DEE27F" w14:textId="77777777" w:rsidR="002259A8" w:rsidRDefault="00190E1B" w:rsidP="00E41743">
            <w:pPr>
              <w:ind w:left="90" w:right="180"/>
              <w:rPr>
                <w:rFonts w:ascii="Ink Free" w:hAnsi="Ink Free"/>
                <w:b/>
                <w:bCs/>
                <w:i/>
                <w:iCs/>
                <w:color w:val="000000" w:themeColor="text1"/>
              </w:rPr>
            </w:pPr>
            <w:r w:rsidRPr="002C3809">
              <w:rPr>
                <w:rFonts w:ascii="Ink Free" w:hAnsi="Ink Free"/>
                <w:b/>
                <w:bCs/>
                <w:i/>
                <w:iCs/>
                <w:color w:val="000000" w:themeColor="text1"/>
              </w:rPr>
              <w:t>What fees will I pay?</w:t>
            </w:r>
          </w:p>
          <w:p w14:paraId="6BD4EBCC" w14:textId="77777777" w:rsidR="005E1224" w:rsidRDefault="005E1224" w:rsidP="00E41743">
            <w:pPr>
              <w:ind w:left="90" w:right="180"/>
              <w:rPr>
                <w:rFonts w:ascii="Ink Free" w:hAnsi="Ink Free"/>
                <w:b/>
                <w:bCs/>
                <w:i/>
                <w:iCs/>
                <w:color w:val="000000" w:themeColor="text1"/>
              </w:rPr>
            </w:pPr>
          </w:p>
          <w:p w14:paraId="21E59715" w14:textId="77777777" w:rsidR="005E1224" w:rsidRDefault="005E1224" w:rsidP="00E41743">
            <w:pPr>
              <w:ind w:left="90" w:right="180"/>
              <w:rPr>
                <w:rFonts w:ascii="Ink Free" w:hAnsi="Ink Free"/>
                <w:b/>
                <w:bCs/>
                <w:i/>
                <w:iCs/>
                <w:color w:val="000000" w:themeColor="text1"/>
              </w:rPr>
            </w:pPr>
          </w:p>
          <w:p w14:paraId="138781CC" w14:textId="77777777" w:rsidR="005E1224" w:rsidRDefault="005E1224" w:rsidP="00E41743">
            <w:pPr>
              <w:ind w:left="90" w:right="180"/>
              <w:rPr>
                <w:rFonts w:ascii="Ink Free" w:hAnsi="Ink Free"/>
                <w:b/>
                <w:bCs/>
                <w:i/>
                <w:iCs/>
                <w:color w:val="000000" w:themeColor="text1"/>
              </w:rPr>
            </w:pPr>
          </w:p>
          <w:p w14:paraId="089779AE" w14:textId="77777777" w:rsidR="005E1224" w:rsidRDefault="005E1224" w:rsidP="00E41743">
            <w:pPr>
              <w:ind w:left="90" w:right="180"/>
              <w:rPr>
                <w:rFonts w:ascii="Ink Free" w:hAnsi="Ink Free"/>
                <w:b/>
                <w:bCs/>
                <w:i/>
                <w:iCs/>
                <w:color w:val="000000" w:themeColor="text1"/>
              </w:rPr>
            </w:pPr>
          </w:p>
          <w:p w14:paraId="1417DE49" w14:textId="77777777" w:rsidR="005E1224" w:rsidRDefault="005E1224" w:rsidP="00E41743">
            <w:pPr>
              <w:ind w:left="90" w:right="180"/>
              <w:rPr>
                <w:rFonts w:ascii="Ink Free" w:hAnsi="Ink Free"/>
                <w:b/>
                <w:bCs/>
                <w:i/>
                <w:iCs/>
                <w:color w:val="000000" w:themeColor="text1"/>
              </w:rPr>
            </w:pPr>
          </w:p>
          <w:p w14:paraId="7CEF09AF" w14:textId="77777777" w:rsidR="005E1224" w:rsidRDefault="005E1224" w:rsidP="00E41743">
            <w:pPr>
              <w:ind w:left="90" w:right="180"/>
              <w:rPr>
                <w:rFonts w:ascii="Ink Free" w:hAnsi="Ink Free"/>
                <w:b/>
                <w:bCs/>
                <w:i/>
                <w:iCs/>
                <w:color w:val="000000" w:themeColor="text1"/>
              </w:rPr>
            </w:pPr>
          </w:p>
          <w:p w14:paraId="131C6B14" w14:textId="77777777" w:rsidR="005E1224" w:rsidRDefault="005E1224" w:rsidP="00E41743">
            <w:pPr>
              <w:ind w:left="90" w:right="180"/>
              <w:rPr>
                <w:rFonts w:ascii="Ink Free" w:hAnsi="Ink Free"/>
                <w:b/>
                <w:bCs/>
                <w:i/>
                <w:iCs/>
                <w:color w:val="000000" w:themeColor="text1"/>
              </w:rPr>
            </w:pPr>
          </w:p>
          <w:p w14:paraId="15C5F5A1" w14:textId="77777777" w:rsidR="005E1224" w:rsidRDefault="005E1224" w:rsidP="00E41743">
            <w:pPr>
              <w:ind w:left="90" w:right="180"/>
              <w:rPr>
                <w:rFonts w:ascii="Ink Free" w:hAnsi="Ink Free"/>
                <w:b/>
                <w:bCs/>
                <w:i/>
                <w:iCs/>
                <w:color w:val="000000" w:themeColor="text1"/>
              </w:rPr>
            </w:pPr>
          </w:p>
          <w:p w14:paraId="79BF878D" w14:textId="77777777" w:rsidR="005E1224" w:rsidRDefault="005E1224" w:rsidP="00E41743">
            <w:pPr>
              <w:ind w:left="90" w:right="180"/>
              <w:rPr>
                <w:rFonts w:ascii="Ink Free" w:hAnsi="Ink Free"/>
                <w:b/>
                <w:bCs/>
                <w:i/>
                <w:iCs/>
                <w:color w:val="000000" w:themeColor="text1"/>
              </w:rPr>
            </w:pPr>
          </w:p>
          <w:p w14:paraId="3F66987B" w14:textId="77777777" w:rsidR="005E1224" w:rsidRDefault="005E1224" w:rsidP="00E41743">
            <w:pPr>
              <w:ind w:left="90" w:right="180"/>
              <w:rPr>
                <w:rFonts w:ascii="Ink Free" w:hAnsi="Ink Free"/>
                <w:b/>
                <w:bCs/>
                <w:i/>
                <w:iCs/>
                <w:color w:val="000000" w:themeColor="text1"/>
              </w:rPr>
            </w:pPr>
          </w:p>
          <w:p w14:paraId="08CAFCA8" w14:textId="77777777" w:rsidR="005E1224" w:rsidRDefault="005E1224" w:rsidP="00E41743">
            <w:pPr>
              <w:ind w:left="90" w:right="180"/>
              <w:rPr>
                <w:rFonts w:ascii="Ink Free" w:hAnsi="Ink Free"/>
                <w:b/>
                <w:bCs/>
                <w:i/>
                <w:iCs/>
                <w:color w:val="000000" w:themeColor="text1"/>
              </w:rPr>
            </w:pPr>
          </w:p>
          <w:p w14:paraId="5E29ED6C" w14:textId="77777777" w:rsidR="005E1224" w:rsidRDefault="005E1224" w:rsidP="00E41743">
            <w:pPr>
              <w:ind w:left="90" w:right="180"/>
              <w:rPr>
                <w:rFonts w:ascii="Ink Free" w:hAnsi="Ink Free"/>
                <w:b/>
                <w:bCs/>
                <w:i/>
                <w:iCs/>
                <w:color w:val="000000" w:themeColor="text1"/>
              </w:rPr>
            </w:pPr>
          </w:p>
          <w:p w14:paraId="7E25D2E9" w14:textId="77777777" w:rsidR="005E1224" w:rsidRDefault="005E1224" w:rsidP="00E41743">
            <w:pPr>
              <w:ind w:left="90" w:right="180"/>
              <w:rPr>
                <w:rFonts w:ascii="Ink Free" w:hAnsi="Ink Free"/>
                <w:b/>
                <w:bCs/>
                <w:i/>
                <w:iCs/>
                <w:color w:val="000000" w:themeColor="text1"/>
              </w:rPr>
            </w:pPr>
          </w:p>
          <w:p w14:paraId="3C8C0BE9" w14:textId="77777777" w:rsidR="005E1224" w:rsidRDefault="005E1224" w:rsidP="00E41743">
            <w:pPr>
              <w:ind w:left="90" w:right="180"/>
              <w:rPr>
                <w:rFonts w:ascii="Ink Free" w:hAnsi="Ink Free"/>
                <w:b/>
                <w:bCs/>
                <w:i/>
                <w:iCs/>
                <w:color w:val="000000" w:themeColor="text1"/>
              </w:rPr>
            </w:pPr>
          </w:p>
          <w:p w14:paraId="33243A8F" w14:textId="77777777" w:rsidR="005E1224" w:rsidRDefault="005E1224" w:rsidP="00E41743">
            <w:pPr>
              <w:ind w:left="90" w:right="180"/>
              <w:rPr>
                <w:rFonts w:ascii="Ink Free" w:hAnsi="Ink Free"/>
                <w:b/>
                <w:bCs/>
                <w:i/>
                <w:iCs/>
                <w:color w:val="000000" w:themeColor="text1"/>
              </w:rPr>
            </w:pPr>
          </w:p>
          <w:p w14:paraId="39190FCE" w14:textId="77777777" w:rsidR="005E1224" w:rsidRDefault="005E1224" w:rsidP="00E41743">
            <w:pPr>
              <w:ind w:left="90" w:right="180"/>
              <w:rPr>
                <w:rFonts w:ascii="Ink Free" w:hAnsi="Ink Free"/>
                <w:b/>
                <w:bCs/>
                <w:i/>
                <w:iCs/>
                <w:color w:val="000000" w:themeColor="text1"/>
              </w:rPr>
            </w:pPr>
          </w:p>
          <w:p w14:paraId="7DB0B6A9" w14:textId="77777777" w:rsidR="005E1224" w:rsidRDefault="005E1224" w:rsidP="00E41743">
            <w:pPr>
              <w:ind w:left="90" w:right="180"/>
              <w:rPr>
                <w:rFonts w:ascii="Ink Free" w:hAnsi="Ink Free"/>
                <w:b/>
                <w:bCs/>
                <w:i/>
                <w:iCs/>
                <w:color w:val="000000" w:themeColor="text1"/>
              </w:rPr>
            </w:pPr>
          </w:p>
          <w:p w14:paraId="1A30D8E1" w14:textId="77777777" w:rsidR="005E1224" w:rsidRDefault="005E1224" w:rsidP="00E41743">
            <w:pPr>
              <w:ind w:left="90" w:right="180"/>
              <w:rPr>
                <w:rFonts w:ascii="Ink Free" w:hAnsi="Ink Free"/>
                <w:b/>
                <w:bCs/>
                <w:i/>
                <w:iCs/>
                <w:color w:val="000000" w:themeColor="text1"/>
              </w:rPr>
            </w:pPr>
          </w:p>
          <w:p w14:paraId="15B792A1" w14:textId="136EEF07" w:rsidR="005E1224" w:rsidRPr="002C3809" w:rsidRDefault="005E1224" w:rsidP="00E41743">
            <w:pPr>
              <w:ind w:left="90" w:right="180"/>
              <w:rPr>
                <w:rFonts w:ascii="Ink Free" w:hAnsi="Ink Free"/>
                <w:b/>
                <w:bCs/>
                <w:i/>
                <w:iCs/>
                <w:color w:val="000000" w:themeColor="text1"/>
              </w:rPr>
            </w:pPr>
            <w:r w:rsidRPr="002C3809">
              <w:rPr>
                <w:rFonts w:ascii="Ink Free" w:hAnsi="Ink Free"/>
                <w:b/>
                <w:bCs/>
                <w:i/>
                <w:iCs/>
                <w:color w:val="000000" w:themeColor="text1"/>
              </w:rPr>
              <w:lastRenderedPageBreak/>
              <w:t>What fees will I pay?</w:t>
            </w:r>
            <w:r>
              <w:rPr>
                <w:rFonts w:ascii="Ink Free" w:hAnsi="Ink Free"/>
                <w:b/>
                <w:bCs/>
                <w:i/>
                <w:iCs/>
                <w:color w:val="000000" w:themeColor="text1"/>
              </w:rPr>
              <w:t xml:space="preserve"> (Continued)</w:t>
            </w:r>
          </w:p>
        </w:tc>
        <w:tc>
          <w:tcPr>
            <w:tcW w:w="8739" w:type="dxa"/>
            <w:gridSpan w:val="3"/>
            <w:tcBorders>
              <w:right w:val="single" w:sz="2" w:space="0" w:color="auto"/>
            </w:tcBorders>
          </w:tcPr>
          <w:p w14:paraId="19528B2C" w14:textId="12D67BB7" w:rsidR="005854E0" w:rsidRPr="005854E0" w:rsidRDefault="002259A8" w:rsidP="005854E0">
            <w:pPr>
              <w:ind w:left="90" w:right="180"/>
              <w:rPr>
                <w:rFonts w:ascii="Garamond" w:hAnsi="Garamond"/>
                <w:color w:val="000000" w:themeColor="text1"/>
              </w:rPr>
            </w:pPr>
            <w:r w:rsidRPr="001141D1">
              <w:rPr>
                <w:rFonts w:ascii="Garamond" w:hAnsi="Garamond"/>
                <w:color w:val="000000" w:themeColor="text1"/>
              </w:rPr>
              <w:lastRenderedPageBreak/>
              <w:br w:type="column"/>
            </w:r>
            <w:r w:rsidR="005854E0" w:rsidRPr="005854E0">
              <w:rPr>
                <w:rFonts w:ascii="Garamond" w:hAnsi="Garamond"/>
                <w:color w:val="000000" w:themeColor="text1"/>
              </w:rPr>
              <w:t>You will pay a fee for our services based upon the type of service you receive. This can include asset-based fees, fixed fees, hourly fees, set-up fees and program fees. Any fees paid and the frequency charged will be agreed upon by you when contracting with SRM for investment advisory services.</w:t>
            </w:r>
          </w:p>
          <w:p w14:paraId="0EB1DF72" w14:textId="3BED9A18" w:rsidR="005854E0" w:rsidRPr="005854E0" w:rsidRDefault="005854E0" w:rsidP="005854E0">
            <w:pPr>
              <w:pStyle w:val="ListParagraph"/>
              <w:numPr>
                <w:ilvl w:val="0"/>
                <w:numId w:val="5"/>
              </w:numPr>
              <w:ind w:right="180"/>
              <w:rPr>
                <w:rFonts w:ascii="Garamond" w:hAnsi="Garamond"/>
                <w:color w:val="000000" w:themeColor="text1"/>
              </w:rPr>
            </w:pPr>
            <w:r w:rsidRPr="005854E0">
              <w:rPr>
                <w:rFonts w:ascii="Garamond" w:hAnsi="Garamond"/>
                <w:color w:val="000000" w:themeColor="text1"/>
              </w:rPr>
              <w:t>Asset-based fee – the fee is a percentage of all assets in your account, charged on an ongoing basis</w:t>
            </w:r>
          </w:p>
          <w:p w14:paraId="58D5BE54" w14:textId="4C95EE21" w:rsidR="005854E0" w:rsidRPr="005854E0" w:rsidRDefault="005854E0" w:rsidP="005854E0">
            <w:pPr>
              <w:pStyle w:val="ListParagraph"/>
              <w:numPr>
                <w:ilvl w:val="0"/>
                <w:numId w:val="5"/>
              </w:numPr>
              <w:ind w:right="180"/>
              <w:rPr>
                <w:rFonts w:ascii="Garamond" w:hAnsi="Garamond"/>
                <w:color w:val="000000" w:themeColor="text1"/>
              </w:rPr>
            </w:pPr>
            <w:r w:rsidRPr="005854E0">
              <w:rPr>
                <w:rFonts w:ascii="Garamond" w:hAnsi="Garamond"/>
                <w:color w:val="000000" w:themeColor="text1"/>
              </w:rPr>
              <w:t>Fixed fee – the fee is a set amount, charged either one-time or on an ongoing basis</w:t>
            </w:r>
          </w:p>
          <w:p w14:paraId="1AF372E9" w14:textId="4E31C616" w:rsidR="005854E0" w:rsidRPr="005854E0" w:rsidRDefault="005854E0" w:rsidP="005854E0">
            <w:pPr>
              <w:pStyle w:val="ListParagraph"/>
              <w:numPr>
                <w:ilvl w:val="0"/>
                <w:numId w:val="5"/>
              </w:numPr>
              <w:ind w:right="180"/>
              <w:rPr>
                <w:rFonts w:ascii="Garamond" w:hAnsi="Garamond"/>
                <w:color w:val="000000" w:themeColor="text1"/>
              </w:rPr>
            </w:pPr>
            <w:r w:rsidRPr="005854E0">
              <w:rPr>
                <w:rFonts w:ascii="Garamond" w:hAnsi="Garamond"/>
                <w:color w:val="000000" w:themeColor="text1"/>
              </w:rPr>
              <w:t>Hourly fee – the fee is a set amount and based on the aggregate number of hours of service provided</w:t>
            </w:r>
          </w:p>
          <w:p w14:paraId="088C18AF" w14:textId="7D7FB632" w:rsidR="005854E0" w:rsidRPr="005854E0" w:rsidRDefault="005854E0" w:rsidP="005854E0">
            <w:pPr>
              <w:pStyle w:val="ListParagraph"/>
              <w:numPr>
                <w:ilvl w:val="0"/>
                <w:numId w:val="5"/>
              </w:numPr>
              <w:ind w:right="180"/>
              <w:rPr>
                <w:rFonts w:ascii="Garamond" w:hAnsi="Garamond"/>
                <w:color w:val="000000" w:themeColor="text1"/>
              </w:rPr>
            </w:pPr>
            <w:r w:rsidRPr="005854E0">
              <w:rPr>
                <w:rFonts w:ascii="Garamond" w:hAnsi="Garamond"/>
                <w:color w:val="000000" w:themeColor="text1"/>
              </w:rPr>
              <w:t>Set-up fee – the fee is a set amount, charged one-time</w:t>
            </w:r>
          </w:p>
          <w:p w14:paraId="019BA25B" w14:textId="6D35CA32" w:rsidR="005854E0" w:rsidRPr="005854E0" w:rsidRDefault="005854E0" w:rsidP="005854E0">
            <w:pPr>
              <w:pStyle w:val="ListParagraph"/>
              <w:numPr>
                <w:ilvl w:val="0"/>
                <w:numId w:val="5"/>
              </w:numPr>
              <w:ind w:right="180"/>
              <w:rPr>
                <w:rFonts w:ascii="Garamond" w:hAnsi="Garamond"/>
                <w:color w:val="000000" w:themeColor="text1"/>
              </w:rPr>
            </w:pPr>
            <w:r w:rsidRPr="005854E0">
              <w:rPr>
                <w:rFonts w:ascii="Garamond" w:hAnsi="Garamond"/>
                <w:color w:val="000000" w:themeColor="text1"/>
              </w:rPr>
              <w:t>Program fee – the fee is an inclusive, or wrap, fee including an asset-based fee for services, custodial and trading fees, strategist fees (if applicable) and set-up fees (if applicable), charged on an ongoing basis</w:t>
            </w:r>
          </w:p>
          <w:p w14:paraId="4AB03A0D" w14:textId="77777777" w:rsidR="005854E0" w:rsidRPr="005854E0" w:rsidRDefault="005854E0" w:rsidP="005854E0">
            <w:pPr>
              <w:ind w:left="90" w:right="180"/>
              <w:rPr>
                <w:rFonts w:ascii="Garamond" w:hAnsi="Garamond"/>
                <w:color w:val="000000" w:themeColor="text1"/>
              </w:rPr>
            </w:pPr>
            <w:r w:rsidRPr="005854E0">
              <w:rPr>
                <w:rFonts w:ascii="Garamond" w:hAnsi="Garamond"/>
                <w:color w:val="000000" w:themeColor="text1"/>
              </w:rPr>
              <w:t>If you pay an asset-based fee, the more assets there are in your account, the more you will pay in fees. This gives us an incentive to encourage you to increase the assets in your account. If you pay a wrap fee, this fee can be higher than a typical asset-based fee because it includes the custodial and trading fees for your account. If you pay an hourly fee, this gives us an incentive to incur more time providing services to you.</w:t>
            </w:r>
          </w:p>
          <w:p w14:paraId="7D994C89" w14:textId="77777777" w:rsidR="005854E0" w:rsidRDefault="005854E0" w:rsidP="005854E0">
            <w:pPr>
              <w:ind w:left="90" w:right="180"/>
              <w:rPr>
                <w:rFonts w:ascii="Garamond" w:hAnsi="Garamond"/>
                <w:color w:val="000000" w:themeColor="text1"/>
              </w:rPr>
            </w:pPr>
          </w:p>
          <w:p w14:paraId="6B50C254" w14:textId="29A17552" w:rsidR="005854E0" w:rsidRPr="005854E0" w:rsidRDefault="005854E0" w:rsidP="005854E0">
            <w:pPr>
              <w:ind w:left="90" w:right="180"/>
              <w:rPr>
                <w:rFonts w:ascii="Garamond" w:hAnsi="Garamond"/>
                <w:color w:val="000000" w:themeColor="text1"/>
              </w:rPr>
            </w:pPr>
            <w:r w:rsidRPr="005854E0">
              <w:rPr>
                <w:rFonts w:ascii="Garamond" w:hAnsi="Garamond"/>
                <w:color w:val="000000" w:themeColor="text1"/>
              </w:rPr>
              <w:t xml:space="preserve">You will typically also pay other fees, depending on your account type. These fees include custodian fees, account maintenance fees, transactional </w:t>
            </w:r>
            <w:r w:rsidR="001C1B05" w:rsidRPr="005854E0">
              <w:rPr>
                <w:rFonts w:ascii="Garamond" w:hAnsi="Garamond"/>
                <w:color w:val="000000" w:themeColor="text1"/>
              </w:rPr>
              <w:t>fees,</w:t>
            </w:r>
            <w:r w:rsidRPr="005854E0">
              <w:rPr>
                <w:rFonts w:ascii="Garamond" w:hAnsi="Garamond"/>
                <w:color w:val="000000" w:themeColor="text1"/>
              </w:rPr>
              <w:t xml:space="preserve"> and other ancillary fees</w:t>
            </w:r>
            <w:r w:rsidR="0094380E">
              <w:rPr>
                <w:rFonts w:ascii="Garamond" w:hAnsi="Garamond"/>
                <w:color w:val="000000" w:themeColor="text1"/>
              </w:rPr>
              <w:t>.</w:t>
            </w:r>
          </w:p>
          <w:p w14:paraId="613FCB53" w14:textId="77777777" w:rsidR="002259A8" w:rsidRDefault="005854E0" w:rsidP="00E41743">
            <w:pPr>
              <w:ind w:left="90" w:right="180"/>
              <w:rPr>
                <w:rFonts w:ascii="Garamond" w:hAnsi="Garamond"/>
                <w:color w:val="000000" w:themeColor="text1"/>
              </w:rPr>
            </w:pPr>
            <w:r w:rsidRPr="005854E0">
              <w:rPr>
                <w:rFonts w:ascii="Garamond" w:hAnsi="Garamond"/>
                <w:color w:val="000000" w:themeColor="text1"/>
              </w:rPr>
              <w:lastRenderedPageBreak/>
              <w:t>You will pay fees and costs whether you make or lose money on your investments.  Fees and costs will reduce any amount of money you make on your investments over time. Please make sure you understand what fees and costs you are paying.</w:t>
            </w:r>
          </w:p>
          <w:p w14:paraId="3E80DF2A" w14:textId="7EA37EAE" w:rsidR="00A87BA2" w:rsidRPr="00A87BA2" w:rsidRDefault="00A87BA2" w:rsidP="00E41743">
            <w:pPr>
              <w:ind w:left="90" w:right="180"/>
              <w:rPr>
                <w:rFonts w:ascii="Garamond" w:hAnsi="Garamond"/>
                <w:color w:val="000000" w:themeColor="text1"/>
              </w:rPr>
            </w:pPr>
          </w:p>
        </w:tc>
      </w:tr>
      <w:tr w:rsidR="00E41743" w:rsidRPr="002571E1" w14:paraId="12C3C865" w14:textId="77777777" w:rsidTr="005E1224">
        <w:trPr>
          <w:tblCellSpacing w:w="20" w:type="dxa"/>
        </w:trPr>
        <w:tc>
          <w:tcPr>
            <w:tcW w:w="10450" w:type="dxa"/>
            <w:gridSpan w:val="4"/>
            <w:tcBorders>
              <w:top w:val="nil"/>
              <w:left w:val="single" w:sz="2" w:space="0" w:color="auto"/>
              <w:bottom w:val="nil"/>
              <w:right w:val="single" w:sz="2" w:space="0" w:color="auto"/>
            </w:tcBorders>
          </w:tcPr>
          <w:p w14:paraId="43A4AE3C" w14:textId="77777777" w:rsidR="00190E1B" w:rsidRPr="002571E1" w:rsidRDefault="00190E1B" w:rsidP="005678C2">
            <w:pPr>
              <w:ind w:left="90" w:right="180"/>
              <w:jc w:val="center"/>
              <w:rPr>
                <w:rFonts w:ascii="Ink Free" w:hAnsi="Ink Free"/>
                <w:b/>
                <w:bCs/>
                <w:i/>
                <w:iCs/>
                <w:color w:val="000000" w:themeColor="text1"/>
                <w:sz w:val="22"/>
                <w:szCs w:val="22"/>
              </w:rPr>
            </w:pPr>
            <w:r w:rsidRPr="002571E1">
              <w:rPr>
                <w:rFonts w:ascii="Ink Free" w:hAnsi="Ink Free"/>
                <w:b/>
                <w:bCs/>
                <w:i/>
                <w:iCs/>
                <w:color w:val="000000" w:themeColor="text1"/>
                <w:sz w:val="22"/>
                <w:szCs w:val="22"/>
              </w:rPr>
              <w:lastRenderedPageBreak/>
              <w:t>Conversation Starter</w:t>
            </w:r>
          </w:p>
          <w:p w14:paraId="7AC5D686" w14:textId="4CAA2F26" w:rsidR="00190E1B" w:rsidRPr="002571E1" w:rsidRDefault="002571E1" w:rsidP="005678C2">
            <w:pPr>
              <w:pStyle w:val="ListParagraph"/>
              <w:numPr>
                <w:ilvl w:val="0"/>
                <w:numId w:val="3"/>
              </w:numPr>
              <w:ind w:right="-90"/>
              <w:jc w:val="center"/>
              <w:rPr>
                <w:rFonts w:ascii="Ink Free" w:hAnsi="Ink Free"/>
                <w:b/>
                <w:bCs/>
                <w:i/>
                <w:iCs/>
                <w:color w:val="000000" w:themeColor="text1"/>
              </w:rPr>
            </w:pPr>
            <w:r w:rsidRPr="005678C2">
              <w:rPr>
                <w:rFonts w:ascii="Ink Free" w:hAnsi="Ink Free"/>
                <w:b/>
                <w:bCs/>
                <w:i/>
                <w:iCs/>
                <w:color w:val="000000" w:themeColor="text1"/>
                <w:sz w:val="22"/>
                <w:szCs w:val="22"/>
              </w:rPr>
              <w:t>How might your conflicts of interest affect me, and how will you address them?</w:t>
            </w:r>
          </w:p>
        </w:tc>
      </w:tr>
      <w:tr w:rsidR="00E41743" w:rsidRPr="001141D1" w14:paraId="011D41CF" w14:textId="77777777" w:rsidTr="005E1224">
        <w:trPr>
          <w:trHeight w:val="3332"/>
          <w:tblCellSpacing w:w="20" w:type="dxa"/>
        </w:trPr>
        <w:tc>
          <w:tcPr>
            <w:tcW w:w="2368" w:type="dxa"/>
            <w:gridSpan w:val="2"/>
            <w:tcBorders>
              <w:left w:val="single" w:sz="2" w:space="0" w:color="auto"/>
            </w:tcBorders>
          </w:tcPr>
          <w:p w14:paraId="67376F10" w14:textId="2F946C23" w:rsidR="000B3F9C" w:rsidRPr="001141D1" w:rsidRDefault="000B3F9C" w:rsidP="00E41743">
            <w:pPr>
              <w:ind w:left="90" w:right="180"/>
              <w:rPr>
                <w:rFonts w:ascii="Garamond" w:hAnsi="Garamond"/>
                <w:b/>
                <w:bCs/>
                <w:i/>
                <w:iCs/>
                <w:color w:val="000000" w:themeColor="text1"/>
              </w:rPr>
            </w:pPr>
            <w:r w:rsidRPr="001141D1">
              <w:rPr>
                <w:rFonts w:ascii="Ink Free" w:hAnsi="Ink Free"/>
                <w:b/>
                <w:bCs/>
                <w:i/>
                <w:iCs/>
                <w:color w:val="000000" w:themeColor="text1"/>
              </w:rPr>
              <w:t>What are your legal obligations to me when acting as my</w:t>
            </w:r>
            <w:r w:rsidR="002571E1">
              <w:rPr>
                <w:rFonts w:ascii="Ink Free" w:hAnsi="Ink Free"/>
                <w:b/>
                <w:bCs/>
                <w:i/>
                <w:iCs/>
                <w:color w:val="000000" w:themeColor="text1"/>
              </w:rPr>
              <w:t xml:space="preserve"> investment </w:t>
            </w:r>
            <w:r w:rsidR="00E41743">
              <w:rPr>
                <w:rFonts w:ascii="Ink Free" w:hAnsi="Ink Free"/>
                <w:b/>
                <w:bCs/>
                <w:i/>
                <w:iCs/>
                <w:color w:val="000000" w:themeColor="text1"/>
              </w:rPr>
              <w:t>advisor</w:t>
            </w:r>
            <w:r w:rsidR="002571E1">
              <w:rPr>
                <w:rFonts w:ascii="Ink Free" w:hAnsi="Ink Free"/>
                <w:b/>
                <w:bCs/>
                <w:i/>
                <w:iCs/>
                <w:color w:val="000000" w:themeColor="text1"/>
              </w:rPr>
              <w:t>?</w:t>
            </w:r>
            <w:r w:rsidRPr="001141D1">
              <w:rPr>
                <w:rFonts w:ascii="Ink Free" w:hAnsi="Ink Free"/>
                <w:b/>
                <w:bCs/>
                <w:i/>
                <w:iCs/>
                <w:color w:val="000000" w:themeColor="text1"/>
              </w:rPr>
              <w:t xml:space="preserve"> </w:t>
            </w:r>
            <w:r w:rsidR="002571E1">
              <w:rPr>
                <w:rFonts w:ascii="Ink Free" w:hAnsi="Ink Free"/>
                <w:b/>
                <w:bCs/>
                <w:i/>
                <w:iCs/>
                <w:color w:val="000000" w:themeColor="text1"/>
              </w:rPr>
              <w:t xml:space="preserve">How else does your firm make </w:t>
            </w:r>
            <w:r w:rsidR="008C3F5E">
              <w:rPr>
                <w:rFonts w:ascii="Ink Free" w:hAnsi="Ink Free"/>
                <w:b/>
                <w:bCs/>
                <w:i/>
                <w:iCs/>
                <w:color w:val="000000" w:themeColor="text1"/>
              </w:rPr>
              <w:t>money</w:t>
            </w:r>
            <w:r w:rsidR="002571E1">
              <w:rPr>
                <w:rFonts w:ascii="Ink Free" w:hAnsi="Ink Free"/>
                <w:b/>
                <w:bCs/>
                <w:i/>
                <w:iCs/>
                <w:color w:val="000000" w:themeColor="text1"/>
              </w:rPr>
              <w:t xml:space="preserve"> and what conflicts of interest do you have?</w:t>
            </w:r>
          </w:p>
        </w:tc>
        <w:tc>
          <w:tcPr>
            <w:tcW w:w="8042" w:type="dxa"/>
            <w:gridSpan w:val="2"/>
            <w:tcBorders>
              <w:right w:val="single" w:sz="2" w:space="0" w:color="auto"/>
            </w:tcBorders>
          </w:tcPr>
          <w:p w14:paraId="5AEF9DB8" w14:textId="56FD4F3C" w:rsidR="00FF6765" w:rsidRDefault="0086666C" w:rsidP="00FF6765">
            <w:pPr>
              <w:ind w:left="90" w:right="180"/>
              <w:rPr>
                <w:rFonts w:ascii="Garamond" w:hAnsi="Garamond"/>
                <w:color w:val="000000" w:themeColor="text1"/>
              </w:rPr>
            </w:pPr>
            <w:r w:rsidRPr="0086666C">
              <w:rPr>
                <w:rFonts w:ascii="Garamond" w:hAnsi="Garamond"/>
                <w:color w:val="000000" w:themeColor="text1"/>
              </w:rPr>
              <w:t>When we act as your investment advis</w:t>
            </w:r>
            <w:r w:rsidR="00B37D2C">
              <w:rPr>
                <w:rFonts w:ascii="Garamond" w:hAnsi="Garamond"/>
                <w:color w:val="000000" w:themeColor="text1"/>
              </w:rPr>
              <w:t>o</w:t>
            </w:r>
            <w:r w:rsidRPr="0086666C">
              <w:rPr>
                <w:rFonts w:ascii="Garamond" w:hAnsi="Garamond"/>
                <w:color w:val="000000" w:themeColor="text1"/>
              </w:rPr>
              <w:t xml:space="preserve">r, we have to act in your best interest and not put our interest ahead of yours. At the same time, the way we make money creates some conflicts with your interests. </w:t>
            </w:r>
            <w:r w:rsidR="00FF6765">
              <w:rPr>
                <w:rFonts w:ascii="Garamond" w:hAnsi="Garamond"/>
                <w:color w:val="000000" w:themeColor="text1"/>
              </w:rPr>
              <w:t>An example would be r</w:t>
            </w:r>
            <w:r w:rsidR="00FF6765" w:rsidRPr="00FF6765">
              <w:rPr>
                <w:rFonts w:ascii="Garamond" w:hAnsi="Garamond"/>
                <w:color w:val="000000" w:themeColor="text1"/>
              </w:rPr>
              <w:t>evenue sharing – some sponsors or managers of investments share a portion of the revenue they earn on those investments with us, as do some clearing firms with respect to revenue they earn from clearing</w:t>
            </w:r>
            <w:r w:rsidR="00FF6765">
              <w:rPr>
                <w:rFonts w:ascii="Garamond" w:hAnsi="Garamond"/>
                <w:color w:val="000000" w:themeColor="text1"/>
              </w:rPr>
              <w:t xml:space="preserve"> </w:t>
            </w:r>
            <w:r w:rsidR="00FF6765" w:rsidRPr="00FF6765">
              <w:rPr>
                <w:rFonts w:ascii="Garamond" w:hAnsi="Garamond"/>
                <w:color w:val="000000" w:themeColor="text1"/>
              </w:rPr>
              <w:t>transactions in your accounts based on clearing fees increased on our behalf. This creates an incentive to</w:t>
            </w:r>
            <w:r w:rsidR="00FF6765">
              <w:rPr>
                <w:rFonts w:ascii="Garamond" w:hAnsi="Garamond"/>
                <w:color w:val="000000" w:themeColor="text1"/>
              </w:rPr>
              <w:t xml:space="preserve"> </w:t>
            </w:r>
            <w:r w:rsidR="00FF6765" w:rsidRPr="00FF6765">
              <w:rPr>
                <w:rFonts w:ascii="Garamond" w:hAnsi="Garamond"/>
                <w:color w:val="000000" w:themeColor="text1"/>
              </w:rPr>
              <w:t>recommend a particular sponsor, manager, or clearing firm</w:t>
            </w:r>
            <w:r w:rsidR="00FF6765">
              <w:rPr>
                <w:rFonts w:ascii="Garamond" w:hAnsi="Garamond"/>
                <w:color w:val="000000" w:themeColor="text1"/>
              </w:rPr>
              <w:t>.</w:t>
            </w:r>
            <w:r w:rsidR="00FF6765" w:rsidRPr="0086666C">
              <w:rPr>
                <w:rFonts w:ascii="Garamond" w:hAnsi="Garamond"/>
                <w:color w:val="000000" w:themeColor="text1"/>
              </w:rPr>
              <w:t xml:space="preserve"> </w:t>
            </w:r>
          </w:p>
          <w:p w14:paraId="697F0585" w14:textId="77777777" w:rsidR="00FF6765" w:rsidRDefault="00FF6765" w:rsidP="00FF6765">
            <w:pPr>
              <w:ind w:left="90" w:right="180"/>
              <w:rPr>
                <w:rFonts w:ascii="Garamond" w:hAnsi="Garamond"/>
                <w:color w:val="000000" w:themeColor="text1"/>
              </w:rPr>
            </w:pPr>
          </w:p>
          <w:p w14:paraId="54ACB80A" w14:textId="0C41CE22" w:rsidR="000B3F9C" w:rsidRPr="00FF6765" w:rsidRDefault="00FF6765" w:rsidP="00FF6765">
            <w:pPr>
              <w:ind w:left="90" w:right="180"/>
              <w:rPr>
                <w:rFonts w:ascii="Garamond" w:hAnsi="Garamond"/>
                <w:color w:val="000000" w:themeColor="text1"/>
              </w:rPr>
            </w:pPr>
            <w:r w:rsidRPr="0086666C">
              <w:rPr>
                <w:rFonts w:ascii="Garamond" w:hAnsi="Garamond"/>
                <w:color w:val="000000" w:themeColor="text1"/>
              </w:rPr>
              <w:t xml:space="preserve">You should understand and ask us about these conflicts because they can affect the investment </w:t>
            </w:r>
            <w:r w:rsidR="001C1B05" w:rsidRPr="0086666C">
              <w:rPr>
                <w:rFonts w:ascii="Garamond" w:hAnsi="Garamond"/>
                <w:color w:val="000000" w:themeColor="text1"/>
              </w:rPr>
              <w:t>advice,</w:t>
            </w:r>
            <w:r w:rsidRPr="0086666C">
              <w:rPr>
                <w:rFonts w:ascii="Garamond" w:hAnsi="Garamond"/>
                <w:color w:val="000000" w:themeColor="text1"/>
              </w:rPr>
              <w:t xml:space="preserve"> we provide you.</w:t>
            </w:r>
          </w:p>
        </w:tc>
      </w:tr>
      <w:tr w:rsidR="00C20D2B" w:rsidRPr="001141D1" w14:paraId="6C1D12A1" w14:textId="77777777" w:rsidTr="005E1224">
        <w:trPr>
          <w:tblCellSpacing w:w="20" w:type="dxa"/>
        </w:trPr>
        <w:tc>
          <w:tcPr>
            <w:tcW w:w="2368" w:type="dxa"/>
            <w:gridSpan w:val="2"/>
            <w:tcBorders>
              <w:left w:val="single" w:sz="2" w:space="0" w:color="auto"/>
            </w:tcBorders>
          </w:tcPr>
          <w:p w14:paraId="3122BCB2" w14:textId="520E0707" w:rsidR="000B3F9C" w:rsidRPr="001141D1" w:rsidRDefault="000B3F9C" w:rsidP="00E41743">
            <w:pPr>
              <w:ind w:left="90" w:right="180"/>
              <w:rPr>
                <w:rFonts w:ascii="Ink Free" w:hAnsi="Ink Free"/>
                <w:b/>
                <w:bCs/>
                <w:i/>
                <w:iCs/>
                <w:color w:val="000000" w:themeColor="text1"/>
              </w:rPr>
            </w:pPr>
            <w:r w:rsidRPr="001141D1">
              <w:rPr>
                <w:rFonts w:ascii="Ink Free" w:hAnsi="Ink Free"/>
                <w:b/>
                <w:bCs/>
                <w:i/>
                <w:iCs/>
                <w:color w:val="000000" w:themeColor="text1"/>
              </w:rPr>
              <w:t>How do your financial professionals make money?</w:t>
            </w:r>
          </w:p>
          <w:p w14:paraId="5A72646F" w14:textId="77777777" w:rsidR="000B3F9C" w:rsidRPr="001141D1" w:rsidRDefault="000B3F9C" w:rsidP="00E41743">
            <w:pPr>
              <w:ind w:left="90" w:right="180"/>
              <w:rPr>
                <w:rFonts w:ascii="Ink Free" w:hAnsi="Ink Free"/>
                <w:b/>
                <w:bCs/>
                <w:i/>
                <w:iCs/>
                <w:color w:val="000000" w:themeColor="text1"/>
              </w:rPr>
            </w:pPr>
          </w:p>
        </w:tc>
        <w:tc>
          <w:tcPr>
            <w:tcW w:w="8042" w:type="dxa"/>
            <w:gridSpan w:val="2"/>
            <w:tcBorders>
              <w:right w:val="single" w:sz="2" w:space="0" w:color="auto"/>
            </w:tcBorders>
          </w:tcPr>
          <w:p w14:paraId="20DC9F87" w14:textId="54C8FB46" w:rsidR="000B3F9C" w:rsidRDefault="00FF6765" w:rsidP="00E41743">
            <w:pPr>
              <w:ind w:left="90" w:right="180"/>
              <w:rPr>
                <w:rFonts w:ascii="Garamond" w:hAnsi="Garamond"/>
                <w:color w:val="000000" w:themeColor="text1"/>
              </w:rPr>
            </w:pPr>
            <w:r w:rsidRPr="00FF6765">
              <w:rPr>
                <w:rFonts w:ascii="Garamond" w:hAnsi="Garamond"/>
                <w:color w:val="000000" w:themeColor="text1"/>
              </w:rPr>
              <w:t>Our financial professionals receive fees for the investment advisory services they provide. These fees are one-time and/or ongoing and are based on a fixed rate and/or as a percentage of assets in your account. Fixed rate fees are agreed upon by you and the financial professional and are based on the time and complexity it takes to meet your needs. Certain financial professionals will also receive cash or non-cash compensation, such as merchandise, gifts, technology, travel expenses, and lodging, directly from investment managers or sponsors</w:t>
            </w:r>
            <w:r w:rsidR="0094380E">
              <w:rPr>
                <w:rFonts w:ascii="Garamond" w:hAnsi="Garamond"/>
                <w:color w:val="000000" w:themeColor="text1"/>
              </w:rPr>
              <w:t>.</w:t>
            </w:r>
            <w:r w:rsidR="00B37D2C">
              <w:rPr>
                <w:rFonts w:ascii="Garamond" w:hAnsi="Garamond"/>
                <w:color w:val="000000" w:themeColor="text1"/>
              </w:rPr>
              <w:t xml:space="preserve"> </w:t>
            </w:r>
            <w:r w:rsidRPr="00FF6765">
              <w:rPr>
                <w:rFonts w:ascii="Garamond" w:hAnsi="Garamond"/>
                <w:color w:val="000000" w:themeColor="text1"/>
              </w:rPr>
              <w:t xml:space="preserve">As noted above, our financial professionals have an incentive to have more assets in your account if they are paid by an asset-based fee. If they receive an hourly rate, they have an incentive to bill for more hours of work. Financial professionals who receive cash or non-cash compensation have an incentive to sell more of that sponsor or manager’s </w:t>
            </w:r>
            <w:r w:rsidR="006833CE" w:rsidRPr="00FF6765">
              <w:rPr>
                <w:rFonts w:ascii="Garamond" w:hAnsi="Garamond"/>
                <w:color w:val="000000" w:themeColor="text1"/>
              </w:rPr>
              <w:t>products.</w:t>
            </w:r>
          </w:p>
          <w:p w14:paraId="7183E60A" w14:textId="67682191" w:rsidR="00A87BA2" w:rsidRPr="001141D1" w:rsidRDefault="00A87BA2" w:rsidP="00E41743">
            <w:pPr>
              <w:ind w:left="90" w:right="180"/>
              <w:rPr>
                <w:rFonts w:ascii="Garamond" w:hAnsi="Garamond"/>
                <w:color w:val="000000" w:themeColor="text1"/>
              </w:rPr>
            </w:pPr>
          </w:p>
        </w:tc>
      </w:tr>
      <w:tr w:rsidR="00C20D2B" w:rsidRPr="001141D1" w14:paraId="47AAF9BF" w14:textId="77777777" w:rsidTr="005E1224">
        <w:trPr>
          <w:tblCellSpacing w:w="20" w:type="dxa"/>
        </w:trPr>
        <w:tc>
          <w:tcPr>
            <w:tcW w:w="10450" w:type="dxa"/>
            <w:gridSpan w:val="4"/>
            <w:tcBorders>
              <w:right w:val="single" w:sz="2" w:space="0" w:color="auto"/>
            </w:tcBorders>
          </w:tcPr>
          <w:p w14:paraId="698B9E65" w14:textId="77777777" w:rsidR="00813EFD" w:rsidRPr="00E41743" w:rsidRDefault="00813EFD" w:rsidP="00E41743">
            <w:pPr>
              <w:ind w:left="90" w:right="180"/>
              <w:jc w:val="center"/>
              <w:rPr>
                <w:rFonts w:ascii="Ink Free" w:eastAsia="Arial" w:hAnsi="Ink Free" w:cs="Arial"/>
                <w:b/>
                <w:bCs/>
                <w:i/>
                <w:iCs/>
                <w:w w:val="96"/>
                <w:sz w:val="22"/>
                <w:szCs w:val="22"/>
              </w:rPr>
            </w:pPr>
            <w:r w:rsidRPr="00E41743">
              <w:rPr>
                <w:rFonts w:ascii="Ink Free" w:eastAsia="Arial" w:hAnsi="Ink Free" w:cs="Arial"/>
                <w:b/>
                <w:bCs/>
                <w:i/>
                <w:iCs/>
                <w:w w:val="96"/>
                <w:sz w:val="22"/>
                <w:szCs w:val="22"/>
              </w:rPr>
              <w:t>Conversation Starter</w:t>
            </w:r>
          </w:p>
          <w:p w14:paraId="6DBEB176" w14:textId="75C3EDC1" w:rsidR="00813EFD" w:rsidRPr="00E41743" w:rsidRDefault="00813EFD" w:rsidP="00E41743">
            <w:pPr>
              <w:pStyle w:val="ListParagraph"/>
              <w:numPr>
                <w:ilvl w:val="0"/>
                <w:numId w:val="9"/>
              </w:numPr>
              <w:ind w:right="180"/>
              <w:jc w:val="center"/>
              <w:rPr>
                <w:rFonts w:ascii="Ink Free" w:eastAsia="Arial" w:hAnsi="Ink Free" w:cs="Arial"/>
                <w:b/>
                <w:bCs/>
                <w:i/>
                <w:iCs/>
                <w:w w:val="96"/>
                <w:sz w:val="22"/>
                <w:szCs w:val="22"/>
              </w:rPr>
            </w:pPr>
            <w:r w:rsidRPr="00763FF6">
              <w:rPr>
                <w:rFonts w:ascii="Ink Free" w:hAnsi="Ink Free"/>
                <w:b/>
                <w:bCs/>
                <w:i/>
                <w:iCs/>
                <w:color w:val="000000" w:themeColor="text1"/>
                <w:sz w:val="22"/>
                <w:szCs w:val="22"/>
              </w:rPr>
              <w:t>As a financial professional, do you have any disciplinary history? For what type of conduct?</w:t>
            </w:r>
          </w:p>
        </w:tc>
      </w:tr>
      <w:tr w:rsidR="00C20D2B" w:rsidRPr="001141D1" w14:paraId="0BC0F5E0" w14:textId="77777777" w:rsidTr="005E1224">
        <w:trPr>
          <w:tblCellSpacing w:w="20" w:type="dxa"/>
        </w:trPr>
        <w:tc>
          <w:tcPr>
            <w:tcW w:w="8649" w:type="dxa"/>
            <w:gridSpan w:val="3"/>
            <w:tcBorders>
              <w:left w:val="single" w:sz="2" w:space="0" w:color="auto"/>
            </w:tcBorders>
          </w:tcPr>
          <w:p w14:paraId="5751F6B6" w14:textId="6FE49F49" w:rsidR="000B3F9C" w:rsidRPr="001141D1" w:rsidRDefault="000B3F9C" w:rsidP="00E41743">
            <w:pPr>
              <w:ind w:left="90" w:right="180"/>
              <w:rPr>
                <w:rFonts w:ascii="Ink Free" w:hAnsi="Ink Free"/>
                <w:b/>
                <w:bCs/>
                <w:i/>
                <w:iCs/>
                <w:color w:val="000000" w:themeColor="text1"/>
              </w:rPr>
            </w:pPr>
            <w:r w:rsidRPr="001141D1">
              <w:rPr>
                <w:rFonts w:ascii="Ink Free" w:hAnsi="Ink Free"/>
                <w:b/>
                <w:bCs/>
                <w:i/>
                <w:iCs/>
                <w:color w:val="000000" w:themeColor="text1"/>
              </w:rPr>
              <w:t>Do you</w:t>
            </w:r>
            <w:r w:rsidR="004F03DF">
              <w:rPr>
                <w:rFonts w:ascii="Ink Free" w:hAnsi="Ink Free"/>
                <w:b/>
                <w:bCs/>
                <w:i/>
                <w:iCs/>
                <w:color w:val="000000" w:themeColor="text1"/>
              </w:rPr>
              <w:t>r financial professionals</w:t>
            </w:r>
            <w:r w:rsidRPr="001141D1">
              <w:rPr>
                <w:rFonts w:ascii="Ink Free" w:hAnsi="Ink Free"/>
                <w:b/>
                <w:bCs/>
                <w:i/>
                <w:iCs/>
                <w:color w:val="000000" w:themeColor="text1"/>
              </w:rPr>
              <w:t xml:space="preserve"> have legal or disciplinary history</w:t>
            </w:r>
            <w:r w:rsidR="005E1224">
              <w:rPr>
                <w:rFonts w:ascii="Ink Free" w:hAnsi="Ink Free"/>
                <w:b/>
                <w:bCs/>
                <w:i/>
                <w:iCs/>
                <w:color w:val="000000" w:themeColor="text1"/>
              </w:rPr>
              <w:t>?</w:t>
            </w:r>
          </w:p>
        </w:tc>
        <w:tc>
          <w:tcPr>
            <w:tcW w:w="1761" w:type="dxa"/>
            <w:tcBorders>
              <w:right w:val="single" w:sz="2" w:space="0" w:color="auto"/>
            </w:tcBorders>
          </w:tcPr>
          <w:p w14:paraId="2D5C9B12" w14:textId="77777777" w:rsidR="000B3F9C" w:rsidRDefault="00FF6765" w:rsidP="00E41743">
            <w:pPr>
              <w:ind w:left="90" w:right="180"/>
              <w:rPr>
                <w:rFonts w:ascii="Garamond" w:hAnsi="Garamond"/>
                <w:color w:val="000000" w:themeColor="text1"/>
              </w:rPr>
            </w:pPr>
            <w:r>
              <w:rPr>
                <w:rFonts w:ascii="Garamond" w:hAnsi="Garamond"/>
                <w:color w:val="000000" w:themeColor="text1"/>
              </w:rPr>
              <w:t>No.</w:t>
            </w:r>
          </w:p>
          <w:p w14:paraId="7E728E10" w14:textId="4AE0CE71" w:rsidR="00A87BA2" w:rsidRPr="001141D1" w:rsidRDefault="00A87BA2" w:rsidP="00E41743">
            <w:pPr>
              <w:ind w:left="90" w:right="180"/>
              <w:rPr>
                <w:rFonts w:ascii="Garamond" w:hAnsi="Garamond"/>
                <w:color w:val="000000" w:themeColor="text1"/>
              </w:rPr>
            </w:pPr>
          </w:p>
        </w:tc>
      </w:tr>
      <w:tr w:rsidR="00E41743" w:rsidRPr="001141D1" w14:paraId="1CAF9DC0" w14:textId="77777777" w:rsidTr="005E1224">
        <w:trPr>
          <w:tblCellSpacing w:w="20" w:type="dxa"/>
        </w:trPr>
        <w:tc>
          <w:tcPr>
            <w:tcW w:w="10450" w:type="dxa"/>
            <w:gridSpan w:val="4"/>
            <w:tcBorders>
              <w:right w:val="single" w:sz="2" w:space="0" w:color="auto"/>
            </w:tcBorders>
          </w:tcPr>
          <w:p w14:paraId="4B2E07BD" w14:textId="77777777" w:rsidR="00813EFD" w:rsidRPr="00C20D2B" w:rsidRDefault="00813EFD" w:rsidP="005678C2">
            <w:pPr>
              <w:ind w:left="90" w:right="180"/>
              <w:jc w:val="center"/>
              <w:rPr>
                <w:rFonts w:ascii="Ink Free" w:hAnsi="Ink Free"/>
                <w:b/>
                <w:bCs/>
                <w:i/>
                <w:iCs/>
                <w:color w:val="000000" w:themeColor="text1"/>
                <w:sz w:val="22"/>
                <w:szCs w:val="22"/>
              </w:rPr>
            </w:pPr>
            <w:r w:rsidRPr="00C20D2B">
              <w:rPr>
                <w:rFonts w:ascii="Ink Free" w:hAnsi="Ink Free"/>
                <w:b/>
                <w:bCs/>
                <w:i/>
                <w:iCs/>
                <w:color w:val="000000" w:themeColor="text1"/>
                <w:sz w:val="22"/>
                <w:szCs w:val="22"/>
              </w:rPr>
              <w:t>Conversation Starter</w:t>
            </w:r>
          </w:p>
          <w:p w14:paraId="3F3C3CE0" w14:textId="36479F05" w:rsidR="00813EFD" w:rsidRPr="00763FF6" w:rsidRDefault="00813EFD" w:rsidP="005678C2">
            <w:pPr>
              <w:pStyle w:val="ListParagraph"/>
              <w:numPr>
                <w:ilvl w:val="0"/>
                <w:numId w:val="9"/>
              </w:numPr>
              <w:ind w:right="180"/>
              <w:rPr>
                <w:rFonts w:ascii="Ink Free" w:hAnsi="Ink Free"/>
                <w:b/>
                <w:bCs/>
                <w:i/>
                <w:iCs/>
                <w:color w:val="000000" w:themeColor="text1"/>
                <w:sz w:val="22"/>
                <w:szCs w:val="22"/>
              </w:rPr>
            </w:pPr>
            <w:r w:rsidRPr="00763FF6">
              <w:rPr>
                <w:rFonts w:ascii="Ink Free" w:hAnsi="Ink Free"/>
                <w:b/>
                <w:bCs/>
                <w:i/>
                <w:iCs/>
                <w:color w:val="000000" w:themeColor="text1"/>
                <w:sz w:val="22"/>
                <w:szCs w:val="22"/>
              </w:rPr>
              <w:t xml:space="preserve">Who is my primary contact person? Is he or she a representative of an investment </w:t>
            </w:r>
            <w:r w:rsidR="00E41743" w:rsidRPr="00763FF6">
              <w:rPr>
                <w:rFonts w:ascii="Ink Free" w:hAnsi="Ink Free"/>
                <w:b/>
                <w:bCs/>
                <w:i/>
                <w:iCs/>
                <w:color w:val="000000" w:themeColor="text1"/>
                <w:sz w:val="22"/>
                <w:szCs w:val="22"/>
              </w:rPr>
              <w:t>advisor</w:t>
            </w:r>
            <w:r w:rsidRPr="00763FF6">
              <w:rPr>
                <w:rFonts w:ascii="Ink Free" w:hAnsi="Ink Free"/>
                <w:b/>
                <w:bCs/>
                <w:i/>
                <w:iCs/>
                <w:color w:val="000000" w:themeColor="text1"/>
                <w:sz w:val="22"/>
                <w:szCs w:val="22"/>
              </w:rPr>
              <w:t xml:space="preserve"> or broker-dealer?</w:t>
            </w:r>
          </w:p>
          <w:p w14:paraId="4A60958B" w14:textId="77777777" w:rsidR="00813EFD" w:rsidRPr="0086666C" w:rsidRDefault="00813EFD" w:rsidP="005678C2">
            <w:pPr>
              <w:pStyle w:val="ListParagraph"/>
              <w:numPr>
                <w:ilvl w:val="0"/>
                <w:numId w:val="9"/>
              </w:numPr>
              <w:ind w:right="180"/>
              <w:rPr>
                <w:rFonts w:ascii="Garamond" w:hAnsi="Garamond"/>
                <w:color w:val="000000" w:themeColor="text1"/>
                <w:sz w:val="22"/>
                <w:szCs w:val="22"/>
              </w:rPr>
            </w:pPr>
            <w:r w:rsidRPr="00763FF6">
              <w:rPr>
                <w:rFonts w:ascii="Ink Free" w:hAnsi="Ink Free"/>
                <w:b/>
                <w:bCs/>
                <w:i/>
                <w:iCs/>
                <w:color w:val="000000" w:themeColor="text1"/>
                <w:sz w:val="22"/>
                <w:szCs w:val="22"/>
              </w:rPr>
              <w:t>Who can I talk to if I have concerns about how this person is treating me?</w:t>
            </w:r>
          </w:p>
          <w:p w14:paraId="248EFDE9" w14:textId="6A75F5B8" w:rsidR="0086666C" w:rsidRPr="00763FF6" w:rsidRDefault="0086666C" w:rsidP="0086666C">
            <w:pPr>
              <w:pStyle w:val="ListParagraph"/>
              <w:ind w:left="450" w:right="180"/>
              <w:rPr>
                <w:rFonts w:ascii="Garamond" w:hAnsi="Garamond"/>
                <w:color w:val="000000" w:themeColor="text1"/>
                <w:sz w:val="22"/>
                <w:szCs w:val="22"/>
              </w:rPr>
            </w:pPr>
          </w:p>
        </w:tc>
      </w:tr>
    </w:tbl>
    <w:p w14:paraId="5CA9C1D9" w14:textId="77777777" w:rsidR="0086666C" w:rsidRDefault="0086666C" w:rsidP="0086666C">
      <w:pPr>
        <w:ind w:left="90" w:right="180"/>
        <w:rPr>
          <w:rFonts w:ascii="Garamond" w:hAnsi="Garamond"/>
          <w:b/>
          <w:bCs/>
          <w:color w:val="000000" w:themeColor="text1"/>
        </w:rPr>
      </w:pPr>
    </w:p>
    <w:p w14:paraId="26C61D46" w14:textId="211837D9" w:rsidR="0086666C" w:rsidRPr="005854E0" w:rsidRDefault="0086666C" w:rsidP="0086666C">
      <w:pPr>
        <w:ind w:left="90" w:right="180"/>
        <w:jc w:val="center"/>
        <w:rPr>
          <w:rFonts w:ascii="Garamond" w:hAnsi="Garamond"/>
          <w:color w:val="000000" w:themeColor="text1"/>
        </w:rPr>
      </w:pPr>
      <w:r w:rsidRPr="005854E0">
        <w:rPr>
          <w:rFonts w:ascii="Garamond" w:hAnsi="Garamond"/>
          <w:b/>
          <w:bCs/>
          <w:color w:val="000000" w:themeColor="text1"/>
        </w:rPr>
        <w:t>For additional information</w:t>
      </w:r>
      <w:r w:rsidR="0094380E">
        <w:rPr>
          <w:rFonts w:ascii="Garamond" w:hAnsi="Garamond"/>
          <w:color w:val="000000" w:themeColor="text1"/>
        </w:rPr>
        <w:t xml:space="preserve"> </w:t>
      </w:r>
      <w:r w:rsidR="0094380E">
        <w:rPr>
          <w:rFonts w:ascii="Garamond" w:hAnsi="Garamond"/>
          <w:b/>
          <w:bCs/>
          <w:color w:val="000000" w:themeColor="text1"/>
        </w:rPr>
        <w:t xml:space="preserve">please </w:t>
      </w:r>
      <w:r w:rsidR="008E3D23">
        <w:rPr>
          <w:rFonts w:ascii="Garamond" w:hAnsi="Garamond"/>
          <w:b/>
          <w:bCs/>
          <w:color w:val="000000" w:themeColor="text1"/>
        </w:rPr>
        <w:t>visit our website at:</w:t>
      </w:r>
    </w:p>
    <w:p w14:paraId="207A75F9" w14:textId="7ECA956D" w:rsidR="0094380E" w:rsidRDefault="001C1B05" w:rsidP="0094380E">
      <w:pPr>
        <w:jc w:val="center"/>
        <w:rPr>
          <w:rStyle w:val="Hyperlink"/>
        </w:rPr>
      </w:pPr>
      <w:hyperlink r:id="rId8" w:history="1">
        <w:r w:rsidR="0094380E">
          <w:rPr>
            <w:rStyle w:val="Hyperlink"/>
          </w:rPr>
          <w:t>http://www.srmadvisors.com/</w:t>
        </w:r>
      </w:hyperlink>
    </w:p>
    <w:p w14:paraId="3CD3633F" w14:textId="2A9624A6" w:rsidR="00FD42B6" w:rsidRDefault="00FD42B6" w:rsidP="0094380E">
      <w:pPr>
        <w:jc w:val="center"/>
      </w:pPr>
      <w:r>
        <w:rPr>
          <w:rStyle w:val="Hyperlink"/>
        </w:rPr>
        <w:t>Phone: (503) 244-8905</w:t>
      </w:r>
    </w:p>
    <w:p w14:paraId="195DC18D" w14:textId="1FD85270" w:rsidR="0086666C" w:rsidRPr="003240FE" w:rsidRDefault="0086666C" w:rsidP="0086666C">
      <w:pPr>
        <w:pStyle w:val="ListParagraph"/>
        <w:numPr>
          <w:ilvl w:val="0"/>
          <w:numId w:val="15"/>
        </w:numPr>
        <w:ind w:right="180"/>
        <w:jc w:val="center"/>
        <w:rPr>
          <w:rFonts w:ascii="Garamond" w:hAnsi="Garamond"/>
          <w:color w:val="000000" w:themeColor="text1"/>
        </w:rPr>
      </w:pPr>
    </w:p>
    <w:sectPr w:rsidR="0086666C" w:rsidRPr="003240FE" w:rsidSect="00963BC8">
      <w:footerReference w:type="default" r:id="rId9"/>
      <w:pgSz w:w="12240" w:h="15840"/>
      <w:pgMar w:top="1440" w:right="1008" w:bottom="1440"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9740" w14:textId="77777777" w:rsidR="008A208E" w:rsidRDefault="008A208E" w:rsidP="00537FE7">
      <w:r>
        <w:separator/>
      </w:r>
    </w:p>
  </w:endnote>
  <w:endnote w:type="continuationSeparator" w:id="0">
    <w:p w14:paraId="17AF4AD2" w14:textId="77777777" w:rsidR="008A208E" w:rsidRDefault="008A208E" w:rsidP="0053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harles Modern">
    <w:altName w:val="Calibri"/>
    <w:panose1 w:val="00000000000000000000"/>
    <w:charset w:val="00"/>
    <w:family w:val="swiss"/>
    <w:notTrueType/>
    <w:pitch w:val="default"/>
    <w:sig w:usb0="00000003" w:usb1="00000000" w:usb2="00000000" w:usb3="00000000" w:csb0="00000001" w:csb1="00000000"/>
  </w:font>
  <w:font w:name="Gill Sans Nova">
    <w:altName w:val="Gill Sans Nova"/>
    <w:charset w:val="00"/>
    <w:family w:val="swiss"/>
    <w:pitch w:val="variable"/>
    <w:sig w:usb0="80000287" w:usb1="00000002" w:usb2="00000000" w:usb3="00000000" w:csb0="0000009F" w:csb1="00000000"/>
  </w:font>
  <w:font w:name="Garamond">
    <w:panose1 w:val="02020404030301010803"/>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BD23" w14:textId="21A68565" w:rsidR="00503FC9" w:rsidRPr="00503FC9" w:rsidRDefault="00882346" w:rsidP="008E3D23">
    <w:pPr>
      <w:pStyle w:val="Footer"/>
      <w:jc w:val="center"/>
      <w:rPr>
        <w:rFonts w:ascii="Gill Sans Nova Light" w:hAnsi="Gill Sans Nova Light"/>
        <w:b/>
        <w:bCs/>
        <w:sz w:val="20"/>
        <w:szCs w:val="20"/>
      </w:rPr>
    </w:pPr>
    <w:r w:rsidRPr="00503FC9">
      <w:rPr>
        <w:rFonts w:ascii="Gill Sans Nova Light" w:hAnsi="Gill Sans Nova Light"/>
        <w:b/>
        <w:bCs/>
        <w:sz w:val="20"/>
        <w:szCs w:val="20"/>
      </w:rPr>
      <w:fldChar w:fldCharType="begin"/>
    </w:r>
    <w:r w:rsidRPr="00503FC9">
      <w:rPr>
        <w:rFonts w:ascii="Gill Sans Nova Light" w:hAnsi="Gill Sans Nova Light"/>
        <w:b/>
        <w:bCs/>
        <w:sz w:val="20"/>
        <w:szCs w:val="20"/>
      </w:rPr>
      <w:instrText xml:space="preserve"> DATE  \* MERGEFORMAT </w:instrText>
    </w:r>
    <w:r w:rsidRPr="00503FC9">
      <w:rPr>
        <w:rFonts w:ascii="Gill Sans Nova Light" w:hAnsi="Gill Sans Nova Light"/>
        <w:b/>
        <w:bCs/>
        <w:sz w:val="20"/>
        <w:szCs w:val="20"/>
      </w:rPr>
      <w:fldChar w:fldCharType="separate"/>
    </w:r>
    <w:r w:rsidR="001C1B05">
      <w:rPr>
        <w:rFonts w:ascii="Gill Sans Nova Light" w:hAnsi="Gill Sans Nova Light"/>
        <w:b/>
        <w:bCs/>
        <w:noProof/>
        <w:sz w:val="20"/>
        <w:szCs w:val="20"/>
      </w:rPr>
      <w:t>4/29/2022</w:t>
    </w:r>
    <w:r w:rsidRPr="00503FC9">
      <w:rPr>
        <w:rFonts w:ascii="Gill Sans Nova Light" w:hAnsi="Gill Sans Nova Light"/>
        <w:b/>
        <w:bCs/>
        <w:sz w:val="20"/>
        <w:szCs w:val="20"/>
      </w:rPr>
      <w:fldChar w:fldCharType="end"/>
    </w:r>
    <w:r w:rsidR="001D4F8D" w:rsidRPr="00503FC9">
      <w:rPr>
        <w:rFonts w:ascii="Gill Sans Nova Light" w:hAnsi="Gill Sans Nova Light"/>
        <w:b/>
        <w:bCs/>
        <w:sz w:val="20"/>
        <w:szCs w:val="20"/>
      </w:rPr>
      <w:t xml:space="preserve"> </w:t>
    </w:r>
    <w:r w:rsidR="00503FC9">
      <w:rPr>
        <w:rFonts w:ascii="Gill Sans Nova Light" w:hAnsi="Gill Sans Nova Light"/>
        <w:b/>
        <w:bCs/>
        <w:sz w:val="20"/>
        <w:szCs w:val="20"/>
      </w:rPr>
      <w:tab/>
    </w:r>
    <w:r w:rsidR="005854E0">
      <w:rPr>
        <w:rFonts w:ascii="Gill Sans Nova Light" w:hAnsi="Gill Sans Nova Light"/>
        <w:b/>
        <w:bCs/>
        <w:sz w:val="20"/>
        <w:szCs w:val="20"/>
      </w:rPr>
      <w:t>SRM Advisors</w:t>
    </w:r>
    <w:r w:rsidR="00503FC9">
      <w:rPr>
        <w:rFonts w:ascii="Gill Sans Nova Light" w:hAnsi="Gill Sans Nova Light"/>
        <w:b/>
        <w:bCs/>
        <w:sz w:val="20"/>
        <w:szCs w:val="20"/>
      </w:rPr>
      <w:tab/>
    </w:r>
    <w:r w:rsidR="00503FC9" w:rsidRPr="00503FC9">
      <w:rPr>
        <w:rFonts w:ascii="Gill Sans Nova Light" w:hAnsi="Gill Sans Nova Light"/>
        <w:b/>
        <w:bCs/>
        <w:sz w:val="20"/>
        <w:szCs w:val="20"/>
      </w:rPr>
      <w:t>Form CRS</w:t>
    </w:r>
  </w:p>
  <w:p w14:paraId="605E4374" w14:textId="1A4CD005" w:rsidR="00537FE7" w:rsidRPr="00503FC9" w:rsidRDefault="00537FE7" w:rsidP="00882346">
    <w:pPr>
      <w:pStyle w:val="Footer"/>
      <w:jc w:val="center"/>
      <w:rPr>
        <w:rFonts w:ascii="Gill Sans Nova Light" w:hAnsi="Gill Sans Nova Light"/>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B55F" w14:textId="77777777" w:rsidR="008A208E" w:rsidRDefault="008A208E" w:rsidP="00537FE7">
      <w:r>
        <w:separator/>
      </w:r>
    </w:p>
  </w:footnote>
  <w:footnote w:type="continuationSeparator" w:id="0">
    <w:p w14:paraId="24C7ADB6" w14:textId="77777777" w:rsidR="008A208E" w:rsidRDefault="008A208E" w:rsidP="00537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79F"/>
    <w:multiLevelType w:val="hybridMultilevel"/>
    <w:tmpl w:val="0EE0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90718"/>
    <w:multiLevelType w:val="hybridMultilevel"/>
    <w:tmpl w:val="A386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77B3D"/>
    <w:multiLevelType w:val="hybridMultilevel"/>
    <w:tmpl w:val="71C296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80E414B"/>
    <w:multiLevelType w:val="hybridMultilevel"/>
    <w:tmpl w:val="1F8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63213"/>
    <w:multiLevelType w:val="hybridMultilevel"/>
    <w:tmpl w:val="811A3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85B25"/>
    <w:multiLevelType w:val="hybridMultilevel"/>
    <w:tmpl w:val="D9C2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F7D90"/>
    <w:multiLevelType w:val="hybridMultilevel"/>
    <w:tmpl w:val="177AFF3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5E25351"/>
    <w:multiLevelType w:val="hybridMultilevel"/>
    <w:tmpl w:val="E3060BCA"/>
    <w:lvl w:ilvl="0" w:tplc="C37CF678">
      <w:numFmt w:val="bullet"/>
      <w:lvlText w:val=""/>
      <w:lvlJc w:val="left"/>
      <w:pPr>
        <w:ind w:left="1080" w:hanging="720"/>
      </w:pPr>
      <w:rPr>
        <w:rFonts w:ascii="Avenir Book" w:eastAsiaTheme="minorHAnsi" w:hAnsi="Avenir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F1A6F"/>
    <w:multiLevelType w:val="hybridMultilevel"/>
    <w:tmpl w:val="B84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C217E"/>
    <w:multiLevelType w:val="hybridMultilevel"/>
    <w:tmpl w:val="1D709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1C6CC6"/>
    <w:multiLevelType w:val="hybridMultilevel"/>
    <w:tmpl w:val="6F326C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73CB012C"/>
    <w:multiLevelType w:val="hybridMultilevel"/>
    <w:tmpl w:val="1E32BF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2" w15:restartNumberingAfterBreak="0">
    <w:nsid w:val="7A6D7657"/>
    <w:multiLevelType w:val="hybridMultilevel"/>
    <w:tmpl w:val="6F8841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9B23F0"/>
    <w:multiLevelType w:val="hybridMultilevel"/>
    <w:tmpl w:val="BB761D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CFC1CDE"/>
    <w:multiLevelType w:val="hybridMultilevel"/>
    <w:tmpl w:val="3C34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604780">
    <w:abstractNumId w:val="1"/>
  </w:num>
  <w:num w:numId="2" w16cid:durableId="1542935320">
    <w:abstractNumId w:val="7"/>
  </w:num>
  <w:num w:numId="3" w16cid:durableId="2028557796">
    <w:abstractNumId w:val="14"/>
  </w:num>
  <w:num w:numId="4" w16cid:durableId="1783066611">
    <w:abstractNumId w:val="5"/>
  </w:num>
  <w:num w:numId="5" w16cid:durableId="412893309">
    <w:abstractNumId w:val="6"/>
  </w:num>
  <w:num w:numId="6" w16cid:durableId="424112717">
    <w:abstractNumId w:val="0"/>
  </w:num>
  <w:num w:numId="7" w16cid:durableId="785275411">
    <w:abstractNumId w:val="4"/>
  </w:num>
  <w:num w:numId="8" w16cid:durableId="1605530763">
    <w:abstractNumId w:val="12"/>
  </w:num>
  <w:num w:numId="9" w16cid:durableId="1995522070">
    <w:abstractNumId w:val="11"/>
  </w:num>
  <w:num w:numId="10" w16cid:durableId="405804700">
    <w:abstractNumId w:val="10"/>
  </w:num>
  <w:num w:numId="11" w16cid:durableId="1127551804">
    <w:abstractNumId w:val="13"/>
  </w:num>
  <w:num w:numId="12" w16cid:durableId="1911229441">
    <w:abstractNumId w:val="2"/>
  </w:num>
  <w:num w:numId="13" w16cid:durableId="1512375079">
    <w:abstractNumId w:val="3"/>
  </w:num>
  <w:num w:numId="14" w16cid:durableId="777409033">
    <w:abstractNumId w:val="9"/>
  </w:num>
  <w:num w:numId="15" w16cid:durableId="14290396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92"/>
    <w:rsid w:val="000447E0"/>
    <w:rsid w:val="00093905"/>
    <w:rsid w:val="000B3F9C"/>
    <w:rsid w:val="001141D1"/>
    <w:rsid w:val="00151A08"/>
    <w:rsid w:val="00190E1B"/>
    <w:rsid w:val="0019598E"/>
    <w:rsid w:val="001C1B05"/>
    <w:rsid w:val="001D4F8D"/>
    <w:rsid w:val="001D70B0"/>
    <w:rsid w:val="002035DE"/>
    <w:rsid w:val="002259A8"/>
    <w:rsid w:val="002571E1"/>
    <w:rsid w:val="002A6E8E"/>
    <w:rsid w:val="002C27B9"/>
    <w:rsid w:val="002C3809"/>
    <w:rsid w:val="003240FE"/>
    <w:rsid w:val="0034756B"/>
    <w:rsid w:val="003D3573"/>
    <w:rsid w:val="00464797"/>
    <w:rsid w:val="004F03DF"/>
    <w:rsid w:val="004F5104"/>
    <w:rsid w:val="00503FC9"/>
    <w:rsid w:val="005120A6"/>
    <w:rsid w:val="00531381"/>
    <w:rsid w:val="00537FE7"/>
    <w:rsid w:val="0055134D"/>
    <w:rsid w:val="005678C2"/>
    <w:rsid w:val="005854E0"/>
    <w:rsid w:val="005E1224"/>
    <w:rsid w:val="00615992"/>
    <w:rsid w:val="006833CE"/>
    <w:rsid w:val="006C60BC"/>
    <w:rsid w:val="006E76D5"/>
    <w:rsid w:val="00702284"/>
    <w:rsid w:val="00702610"/>
    <w:rsid w:val="00763FF6"/>
    <w:rsid w:val="007A1DA9"/>
    <w:rsid w:val="007C3A3D"/>
    <w:rsid w:val="00806F12"/>
    <w:rsid w:val="00813EFD"/>
    <w:rsid w:val="0086666C"/>
    <w:rsid w:val="008820F8"/>
    <w:rsid w:val="00882346"/>
    <w:rsid w:val="008A208E"/>
    <w:rsid w:val="008C3F5E"/>
    <w:rsid w:val="008E3D23"/>
    <w:rsid w:val="008F0D3E"/>
    <w:rsid w:val="00931E9A"/>
    <w:rsid w:val="0094380E"/>
    <w:rsid w:val="00963BC8"/>
    <w:rsid w:val="009A24D6"/>
    <w:rsid w:val="009C2B97"/>
    <w:rsid w:val="00A62881"/>
    <w:rsid w:val="00A74E97"/>
    <w:rsid w:val="00A87BA2"/>
    <w:rsid w:val="00AB5590"/>
    <w:rsid w:val="00B37D2C"/>
    <w:rsid w:val="00BC57E9"/>
    <w:rsid w:val="00C143EF"/>
    <w:rsid w:val="00C15109"/>
    <w:rsid w:val="00C20D2B"/>
    <w:rsid w:val="00C402F8"/>
    <w:rsid w:val="00C84FEC"/>
    <w:rsid w:val="00CF1D3C"/>
    <w:rsid w:val="00D15A5D"/>
    <w:rsid w:val="00D555F6"/>
    <w:rsid w:val="00E41743"/>
    <w:rsid w:val="00FD42B6"/>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A671"/>
  <w15:chartTrackingRefBased/>
  <w15:docId w15:val="{4B96F044-8A68-2548-B2E5-9BE767CF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HAnsi" w:hAnsi="Avenir Book"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2C27B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ection7">
    <w:name w:val="Header Section 7"/>
    <w:basedOn w:val="Header"/>
    <w:next w:val="Heading7"/>
    <w:qFormat/>
    <w:rsid w:val="002C27B9"/>
    <w:pPr>
      <w:pageBreakBefore/>
      <w:tabs>
        <w:tab w:val="left" w:pos="3460"/>
        <w:tab w:val="right" w:pos="10080"/>
      </w:tabs>
    </w:pPr>
    <w:rPr>
      <w:rFonts w:asciiTheme="majorHAnsi" w:eastAsiaTheme="majorEastAsia" w:hAnsiTheme="majorHAnsi" w:cstheme="majorBidi"/>
      <w:smallCaps/>
      <w:sz w:val="22"/>
      <w:szCs w:val="22"/>
    </w:rPr>
  </w:style>
  <w:style w:type="paragraph" w:styleId="Header">
    <w:name w:val="header"/>
    <w:basedOn w:val="Normal"/>
    <w:link w:val="HeaderChar"/>
    <w:uiPriority w:val="99"/>
    <w:unhideWhenUsed/>
    <w:rsid w:val="002C27B9"/>
    <w:pPr>
      <w:tabs>
        <w:tab w:val="center" w:pos="4680"/>
        <w:tab w:val="right" w:pos="9360"/>
      </w:tabs>
    </w:pPr>
  </w:style>
  <w:style w:type="character" w:customStyle="1" w:styleId="HeaderChar">
    <w:name w:val="Header Char"/>
    <w:basedOn w:val="DefaultParagraphFont"/>
    <w:link w:val="Header"/>
    <w:uiPriority w:val="99"/>
    <w:rsid w:val="002C27B9"/>
  </w:style>
  <w:style w:type="character" w:customStyle="1" w:styleId="Heading7Char">
    <w:name w:val="Heading 7 Char"/>
    <w:basedOn w:val="DefaultParagraphFont"/>
    <w:link w:val="Heading7"/>
    <w:uiPriority w:val="9"/>
    <w:semiHidden/>
    <w:rsid w:val="002C27B9"/>
    <w:rPr>
      <w:rFonts w:asciiTheme="majorHAnsi" w:eastAsiaTheme="majorEastAsia" w:hAnsiTheme="majorHAnsi" w:cstheme="majorBidi"/>
      <w:i/>
      <w:iCs/>
      <w:color w:val="1F3763" w:themeColor="accent1" w:themeShade="7F"/>
    </w:rPr>
  </w:style>
  <w:style w:type="table" w:styleId="TableGrid">
    <w:name w:val="Table Grid"/>
    <w:basedOn w:val="TableNormal"/>
    <w:uiPriority w:val="39"/>
    <w:rsid w:val="00615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992"/>
    <w:rPr>
      <w:color w:val="0563C1" w:themeColor="hyperlink"/>
      <w:u w:val="single"/>
    </w:rPr>
  </w:style>
  <w:style w:type="character" w:styleId="FollowedHyperlink">
    <w:name w:val="FollowedHyperlink"/>
    <w:basedOn w:val="DefaultParagraphFont"/>
    <w:uiPriority w:val="99"/>
    <w:semiHidden/>
    <w:unhideWhenUsed/>
    <w:rsid w:val="00BC57E9"/>
    <w:rPr>
      <w:color w:val="954F72" w:themeColor="followedHyperlink"/>
      <w:u w:val="single"/>
    </w:rPr>
  </w:style>
  <w:style w:type="paragraph" w:styleId="BalloonText">
    <w:name w:val="Balloon Text"/>
    <w:basedOn w:val="Normal"/>
    <w:link w:val="BalloonTextChar"/>
    <w:uiPriority w:val="99"/>
    <w:semiHidden/>
    <w:unhideWhenUsed/>
    <w:rsid w:val="009C2B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B97"/>
    <w:rPr>
      <w:rFonts w:ascii="Times New Roman" w:hAnsi="Times New Roman" w:cs="Times New Roman"/>
      <w:sz w:val="18"/>
      <w:szCs w:val="18"/>
    </w:rPr>
  </w:style>
  <w:style w:type="paragraph" w:styleId="ListParagraph">
    <w:name w:val="List Paragraph"/>
    <w:basedOn w:val="Normal"/>
    <w:uiPriority w:val="34"/>
    <w:qFormat/>
    <w:rsid w:val="009C2B97"/>
    <w:pPr>
      <w:ind w:left="720"/>
      <w:contextualSpacing/>
    </w:pPr>
  </w:style>
  <w:style w:type="paragraph" w:styleId="Footer">
    <w:name w:val="footer"/>
    <w:basedOn w:val="Normal"/>
    <w:link w:val="FooterChar"/>
    <w:uiPriority w:val="99"/>
    <w:unhideWhenUsed/>
    <w:rsid w:val="00537FE7"/>
    <w:pPr>
      <w:tabs>
        <w:tab w:val="center" w:pos="4680"/>
        <w:tab w:val="right" w:pos="9360"/>
      </w:tabs>
    </w:pPr>
  </w:style>
  <w:style w:type="character" w:customStyle="1" w:styleId="FooterChar">
    <w:name w:val="Footer Char"/>
    <w:basedOn w:val="DefaultParagraphFont"/>
    <w:link w:val="Footer"/>
    <w:uiPriority w:val="99"/>
    <w:rsid w:val="00537FE7"/>
  </w:style>
  <w:style w:type="paragraph" w:customStyle="1" w:styleId="Default">
    <w:name w:val="Default"/>
    <w:rsid w:val="00464797"/>
    <w:pPr>
      <w:autoSpaceDE w:val="0"/>
      <w:autoSpaceDN w:val="0"/>
      <w:adjustRightInd w:val="0"/>
    </w:pPr>
    <w:rPr>
      <w:rFonts w:ascii="Charles Modern" w:hAnsi="Charles Modern" w:cs="Charles Modern"/>
      <w:color w:val="000000"/>
    </w:rPr>
  </w:style>
  <w:style w:type="character" w:styleId="UnresolvedMention">
    <w:name w:val="Unresolved Mention"/>
    <w:basedOn w:val="DefaultParagraphFont"/>
    <w:uiPriority w:val="99"/>
    <w:semiHidden/>
    <w:unhideWhenUsed/>
    <w:rsid w:val="00585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20081">
      <w:bodyDiv w:val="1"/>
      <w:marLeft w:val="0"/>
      <w:marRight w:val="0"/>
      <w:marTop w:val="0"/>
      <w:marBottom w:val="0"/>
      <w:divBdr>
        <w:top w:val="none" w:sz="0" w:space="0" w:color="auto"/>
        <w:left w:val="none" w:sz="0" w:space="0" w:color="auto"/>
        <w:bottom w:val="none" w:sz="0" w:space="0" w:color="auto"/>
        <w:right w:val="none" w:sz="0" w:space="0" w:color="auto"/>
      </w:divBdr>
    </w:div>
    <w:div w:id="941231903">
      <w:bodyDiv w:val="1"/>
      <w:marLeft w:val="0"/>
      <w:marRight w:val="0"/>
      <w:marTop w:val="0"/>
      <w:marBottom w:val="0"/>
      <w:divBdr>
        <w:top w:val="none" w:sz="0" w:space="0" w:color="auto"/>
        <w:left w:val="none" w:sz="0" w:space="0" w:color="auto"/>
        <w:bottom w:val="none" w:sz="0" w:space="0" w:color="auto"/>
        <w:right w:val="none" w:sz="0" w:space="0" w:color="auto"/>
      </w:divBdr>
    </w:div>
    <w:div w:id="946690961">
      <w:bodyDiv w:val="1"/>
      <w:marLeft w:val="0"/>
      <w:marRight w:val="0"/>
      <w:marTop w:val="0"/>
      <w:marBottom w:val="0"/>
      <w:divBdr>
        <w:top w:val="none" w:sz="0" w:space="0" w:color="auto"/>
        <w:left w:val="none" w:sz="0" w:space="0" w:color="auto"/>
        <w:bottom w:val="none" w:sz="0" w:space="0" w:color="auto"/>
        <w:right w:val="none" w:sz="0" w:space="0" w:color="auto"/>
      </w:divBdr>
    </w:div>
    <w:div w:id="16205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madvisors.com/" TargetMode="External"/><Relationship Id="rId3" Type="http://schemas.openxmlformats.org/officeDocument/2006/relationships/settings" Target="settings.xml"/><Relationship Id="rId7" Type="http://schemas.openxmlformats.org/officeDocument/2006/relationships/hyperlink" Target="http://www.Investor.gov/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Schwartz</dc:creator>
  <cp:keywords/>
  <dc:description/>
  <cp:lastModifiedBy>Leann Dickey</cp:lastModifiedBy>
  <cp:revision>8</cp:revision>
  <cp:lastPrinted>2022-02-03T18:14:00Z</cp:lastPrinted>
  <dcterms:created xsi:type="dcterms:W3CDTF">2020-06-24T20:34:00Z</dcterms:created>
  <dcterms:modified xsi:type="dcterms:W3CDTF">2022-04-29T17:15:00Z</dcterms:modified>
</cp:coreProperties>
</file>